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53" w:right="0" w:hanging="3953"/>
        <w:jc w:val="center"/>
        <w:rPr>
          <w:rFonts w:ascii="等线" w:hAnsi="等线" w:eastAsia="等线" w:cs="等线"/>
          <w:i w:val="0"/>
          <w:iCs w:val="0"/>
          <w:caps w:val="0"/>
          <w:color w:val="484848"/>
          <w:spacing w:val="0"/>
          <w:sz w:val="21"/>
          <w:szCs w:val="21"/>
          <w:u w:val="none"/>
        </w:rPr>
      </w:pPr>
      <w:bookmarkStart w:id="0" w:name="_GoBack"/>
      <w:r>
        <w:rPr>
          <w:rFonts w:hint="eastAsia" w:ascii="宋体" w:hAnsi="宋体" w:eastAsia="宋体" w:cs="宋体"/>
          <w:b/>
          <w:bCs/>
          <w:i w:val="0"/>
          <w:iCs w:val="0"/>
          <w:caps w:val="0"/>
          <w:color w:val="484848"/>
          <w:spacing w:val="0"/>
          <w:sz w:val="44"/>
          <w:szCs w:val="44"/>
          <w:u w:val="none"/>
          <w:bdr w:val="none" w:color="auto" w:sz="0" w:space="0"/>
        </w:rPr>
        <w:t>长期处方管理规范</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53" w:right="0" w:hanging="3953"/>
        <w:jc w:val="center"/>
        <w:rPr>
          <w:rFonts w:hint="eastAsia" w:ascii="等线" w:hAnsi="等线" w:eastAsia="等线" w:cs="等线"/>
          <w:i w:val="0"/>
          <w:iCs w:val="0"/>
          <w:caps w:val="0"/>
          <w:color w:val="484848"/>
          <w:spacing w:val="0"/>
          <w:sz w:val="21"/>
          <w:szCs w:val="21"/>
          <w:u w:val="none"/>
        </w:rPr>
      </w:pPr>
      <w:r>
        <w:rPr>
          <w:rFonts w:hint="eastAsia" w:ascii="宋体" w:hAnsi="宋体" w:eastAsia="宋体" w:cs="宋体"/>
          <w:b/>
          <w:bCs/>
          <w:i w:val="0"/>
          <w:iCs w:val="0"/>
          <w:caps w:val="0"/>
          <w:color w:val="484848"/>
          <w:spacing w:val="0"/>
          <w:sz w:val="44"/>
          <w:szCs w:val="44"/>
          <w:u w:val="none"/>
          <w:bdr w:val="none" w:color="auto" w:sz="0" w:space="0"/>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53" w:right="0" w:hanging="3953"/>
        <w:jc w:val="center"/>
        <w:rPr>
          <w:rFonts w:hint="eastAsia" w:ascii="等线" w:hAnsi="等线" w:eastAsia="等线" w:cs="等线"/>
          <w:i w:val="0"/>
          <w:iCs w:val="0"/>
          <w:caps w:val="0"/>
          <w:color w:val="484848"/>
          <w:spacing w:val="0"/>
          <w:sz w:val="21"/>
          <w:szCs w:val="21"/>
          <w:u w:val="none"/>
        </w:rPr>
      </w:pPr>
      <w:r>
        <w:rPr>
          <w:rFonts w:ascii="Calibri" w:hAnsi="Calibri" w:eastAsia="等线" w:cs="Calibri"/>
          <w:i w:val="0"/>
          <w:iCs w:val="0"/>
          <w:caps w:val="0"/>
          <w:color w:val="484848"/>
          <w:spacing w:val="0"/>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等线" w:hAnsi="等线" w:eastAsia="等线" w:cs="等线"/>
          <w:i w:val="0"/>
          <w:iCs w:val="0"/>
          <w:caps w:val="0"/>
          <w:color w:val="484848"/>
          <w:spacing w:val="0"/>
          <w:sz w:val="21"/>
          <w:szCs w:val="21"/>
          <w:u w:val="none"/>
        </w:rPr>
      </w:pPr>
      <w:r>
        <w:rPr>
          <w:rFonts w:ascii="黑体" w:hAnsi="宋体" w:eastAsia="黑体" w:cs="黑体"/>
          <w:i w:val="0"/>
          <w:iCs w:val="0"/>
          <w:caps w:val="0"/>
          <w:color w:val="484848"/>
          <w:spacing w:val="0"/>
          <w:sz w:val="32"/>
          <w:szCs w:val="32"/>
          <w:u w:val="none"/>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第一条 </w:t>
      </w:r>
      <w:r>
        <w:rPr>
          <w:rFonts w:ascii="仿宋" w:hAnsi="仿宋" w:eastAsia="仿宋" w:cs="仿宋"/>
          <w:i w:val="0"/>
          <w:iCs w:val="0"/>
          <w:caps w:val="0"/>
          <w:color w:val="484848"/>
          <w:spacing w:val="0"/>
          <w:sz w:val="32"/>
          <w:szCs w:val="32"/>
          <w:u w:val="none"/>
          <w:bdr w:val="none" w:color="auto" w:sz="0" w:space="0"/>
        </w:rPr>
        <w:t>为规范长期处方管理，推进分级诊疗，促进合理用药，保障医疗质量和医疗安全，根据《执业医师法》《药品管理法》《医疗机构管理条例》《麻醉药品和精神药品管理条例》《处方管理办法》《医疗机构药事管理规定》等相关规定，制定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第二条 </w:t>
      </w:r>
      <w:r>
        <w:rPr>
          <w:rFonts w:hint="eastAsia" w:ascii="仿宋" w:hAnsi="仿宋" w:eastAsia="仿宋" w:cs="仿宋"/>
          <w:i w:val="0"/>
          <w:iCs w:val="0"/>
          <w:caps w:val="0"/>
          <w:color w:val="484848"/>
          <w:spacing w:val="0"/>
          <w:sz w:val="32"/>
          <w:szCs w:val="32"/>
          <w:u w:val="none"/>
          <w:bdr w:val="none" w:color="auto" w:sz="0" w:space="0"/>
        </w:rPr>
        <w:t>本规范所称长期处方是指具备条件的医师按照规定，对符合条件的慢性病患者开具的处方用量适当增加的处方。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第三条</w:t>
      </w:r>
      <w:r>
        <w:rPr>
          <w:rFonts w:hint="eastAsia" w:ascii="仿宋" w:hAnsi="仿宋" w:eastAsia="仿宋" w:cs="仿宋"/>
          <w:i w:val="0"/>
          <w:iCs w:val="0"/>
          <w:caps w:val="0"/>
          <w:color w:val="484848"/>
          <w:spacing w:val="0"/>
          <w:sz w:val="32"/>
          <w:szCs w:val="32"/>
          <w:u w:val="none"/>
          <w:bdr w:val="none" w:color="auto" w:sz="0" w:space="0"/>
        </w:rPr>
        <w:t> 长期处方适用于临床诊断明确、用药方案稳定、依从性良好、病情控制平稳、需长期药物治疗的慢性病患者。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第四条</w:t>
      </w:r>
      <w:r>
        <w:rPr>
          <w:rFonts w:hint="eastAsia" w:ascii="仿宋" w:hAnsi="仿宋" w:eastAsia="仿宋" w:cs="仿宋"/>
          <w:i w:val="0"/>
          <w:iCs w:val="0"/>
          <w:caps w:val="0"/>
          <w:color w:val="484848"/>
          <w:spacing w:val="0"/>
          <w:sz w:val="32"/>
          <w:szCs w:val="32"/>
          <w:u w:val="none"/>
          <w:bdr w:val="none" w:color="auto" w:sz="0" w:space="0"/>
        </w:rPr>
        <w:t> 治疗慢性病的一般常用药品可用于长期处方。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第五条</w:t>
      </w:r>
      <w:r>
        <w:rPr>
          <w:rFonts w:hint="eastAsia" w:ascii="仿宋" w:hAnsi="仿宋" w:eastAsia="仿宋" w:cs="仿宋"/>
          <w:i w:val="0"/>
          <w:iCs w:val="0"/>
          <w:caps w:val="0"/>
          <w:color w:val="484848"/>
          <w:spacing w:val="0"/>
          <w:sz w:val="32"/>
          <w:szCs w:val="32"/>
          <w:u w:val="none"/>
          <w:bdr w:val="none" w:color="auto" w:sz="0" w:space="0"/>
        </w:rPr>
        <w:t> 医疗用毒性药品、放射性药品、易制毒药品、麻醉药品、第一类和第二类精神药品、抗微生物药物（治疗结核等慢性细菌真菌感染性疾病的药物除外），以及对储存条件有特殊要求的药品不得用于长期处方。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第六条 </w:t>
      </w:r>
      <w:r>
        <w:rPr>
          <w:rFonts w:hint="eastAsia" w:ascii="仿宋" w:hAnsi="仿宋" w:eastAsia="仿宋" w:cs="仿宋"/>
          <w:i w:val="0"/>
          <w:iCs w:val="0"/>
          <w:caps w:val="0"/>
          <w:color w:val="484848"/>
          <w:spacing w:val="0"/>
          <w:sz w:val="32"/>
          <w:szCs w:val="32"/>
          <w:u w:val="none"/>
          <w:bdr w:val="none" w:color="auto" w:sz="0" w:space="0"/>
        </w:rPr>
        <w:t>地方卫生健康行政部门应当根据实际情况，制定长期处方适用疾病病种及长期处方用药范围。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第七条</w:t>
      </w:r>
      <w:r>
        <w:rPr>
          <w:rFonts w:hint="eastAsia" w:ascii="仿宋" w:hAnsi="仿宋" w:eastAsia="仿宋" w:cs="仿宋"/>
          <w:i w:val="0"/>
          <w:iCs w:val="0"/>
          <w:caps w:val="0"/>
          <w:color w:val="484848"/>
          <w:spacing w:val="0"/>
          <w:sz w:val="32"/>
          <w:szCs w:val="32"/>
          <w:u w:val="none"/>
          <w:bdr w:val="none" w:color="auto" w:sz="0" w:space="0"/>
        </w:rPr>
        <w:t> 本规范适用于全国各级各类医疗机构的长期处方管理工作。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鼓励由基层医疗卫生机构开具长期处方，不适宜在基层治疗的慢性病长期处方应当由二级以上医疗机构开具。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第八条 </w:t>
      </w:r>
      <w:r>
        <w:rPr>
          <w:rFonts w:hint="eastAsia" w:ascii="仿宋" w:hAnsi="仿宋" w:eastAsia="仿宋" w:cs="仿宋"/>
          <w:i w:val="0"/>
          <w:iCs w:val="0"/>
          <w:caps w:val="0"/>
          <w:color w:val="484848"/>
          <w:spacing w:val="0"/>
          <w:sz w:val="32"/>
          <w:szCs w:val="32"/>
          <w:u w:val="none"/>
          <w:bdr w:val="none" w:color="auto" w:sz="0" w:space="0"/>
        </w:rPr>
        <w:t>国家卫生健康委负责全国长期处方的监督管理工作。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县级以上地方卫生健康行政部门负责本行政区域内长期处方的监督管理工作。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第二章  组织管理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第九条 </w:t>
      </w:r>
      <w:r>
        <w:rPr>
          <w:rFonts w:hint="eastAsia" w:ascii="仿宋" w:hAnsi="仿宋" w:eastAsia="仿宋" w:cs="仿宋"/>
          <w:i w:val="0"/>
          <w:iCs w:val="0"/>
          <w:caps w:val="0"/>
          <w:color w:val="484848"/>
          <w:spacing w:val="0"/>
          <w:sz w:val="32"/>
          <w:szCs w:val="32"/>
          <w:u w:val="none"/>
          <w:bdr w:val="none" w:color="auto" w:sz="0" w:space="0"/>
        </w:rPr>
        <w:t>医疗机构应当履行本机构长期处方管理的主体责任，建立健全本机构长期处方管理工作制度，保障医疗质量和医疗安全，满足患者用药需求。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第十条 </w:t>
      </w:r>
      <w:r>
        <w:rPr>
          <w:rFonts w:hint="eastAsia" w:ascii="仿宋" w:hAnsi="仿宋" w:eastAsia="仿宋" w:cs="仿宋"/>
          <w:i w:val="0"/>
          <w:iCs w:val="0"/>
          <w:caps w:val="0"/>
          <w:color w:val="484848"/>
          <w:spacing w:val="0"/>
          <w:sz w:val="32"/>
          <w:szCs w:val="32"/>
          <w:u w:val="none"/>
          <w:bdr w:val="none" w:color="auto" w:sz="0" w:space="0"/>
        </w:rPr>
        <w:t>开具长期处方的医疗机构，应当配备具有评估患者病情能力的医师、能够审核调剂长期处方的药师（含其他药学技术人员，下同）以及相应的设备设施等条件。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基层医疗卫生机构不具备相应条件的，可以通过远程会诊、互联网复诊、医院会诊等途径在医联体内具备条件的上级医疗机构指导下开具。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第十一条 </w:t>
      </w:r>
      <w:r>
        <w:rPr>
          <w:rFonts w:hint="eastAsia" w:ascii="仿宋" w:hAnsi="仿宋" w:eastAsia="仿宋" w:cs="仿宋"/>
          <w:i w:val="0"/>
          <w:iCs w:val="0"/>
          <w:caps w:val="0"/>
          <w:color w:val="484848"/>
          <w:spacing w:val="0"/>
          <w:sz w:val="32"/>
          <w:szCs w:val="32"/>
          <w:u w:val="none"/>
          <w:bdr w:val="none" w:color="auto" w:sz="0" w:space="0"/>
        </w:rPr>
        <w:t>根据患者诊疗需要，长期处方的处方量一般在</w:t>
      </w:r>
      <w:r>
        <w:rPr>
          <w:rFonts w:ascii="微软雅黑" w:hAnsi="微软雅黑" w:eastAsia="微软雅黑" w:cs="微软雅黑"/>
          <w:i w:val="0"/>
          <w:iCs w:val="0"/>
          <w:caps w:val="0"/>
          <w:color w:val="484848"/>
          <w:spacing w:val="0"/>
          <w:sz w:val="32"/>
          <w:szCs w:val="32"/>
          <w:u w:val="none"/>
          <w:bdr w:val="none" w:color="auto" w:sz="0" w:space="0"/>
        </w:rPr>
        <w:t>4</w:t>
      </w:r>
      <w:r>
        <w:rPr>
          <w:rFonts w:hint="eastAsia" w:ascii="仿宋" w:hAnsi="仿宋" w:eastAsia="仿宋" w:cs="仿宋"/>
          <w:i w:val="0"/>
          <w:iCs w:val="0"/>
          <w:caps w:val="0"/>
          <w:color w:val="484848"/>
          <w:spacing w:val="0"/>
          <w:sz w:val="32"/>
          <w:szCs w:val="32"/>
          <w:u w:val="none"/>
          <w:bdr w:val="none" w:color="auto" w:sz="0" w:space="0"/>
        </w:rPr>
        <w:t>周内；根据慢性病特点，病情稳定的患者适当延长，最长不超过</w:t>
      </w:r>
      <w:r>
        <w:rPr>
          <w:rFonts w:hint="eastAsia" w:ascii="微软雅黑" w:hAnsi="微软雅黑" w:eastAsia="微软雅黑" w:cs="微软雅黑"/>
          <w:i w:val="0"/>
          <w:iCs w:val="0"/>
          <w:caps w:val="0"/>
          <w:color w:val="484848"/>
          <w:spacing w:val="0"/>
          <w:sz w:val="32"/>
          <w:szCs w:val="32"/>
          <w:u w:val="none"/>
          <w:bdr w:val="none" w:color="auto" w:sz="0" w:space="0"/>
        </w:rPr>
        <w:t>12</w:t>
      </w:r>
      <w:r>
        <w:rPr>
          <w:rFonts w:hint="eastAsia" w:ascii="仿宋" w:hAnsi="仿宋" w:eastAsia="仿宋" w:cs="仿宋"/>
          <w:i w:val="0"/>
          <w:iCs w:val="0"/>
          <w:caps w:val="0"/>
          <w:color w:val="484848"/>
          <w:spacing w:val="0"/>
          <w:sz w:val="32"/>
          <w:szCs w:val="32"/>
          <w:u w:val="none"/>
          <w:bdr w:val="none" w:color="auto" w:sz="0" w:space="0"/>
        </w:rPr>
        <w:t>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超过</w:t>
      </w:r>
      <w:r>
        <w:rPr>
          <w:rFonts w:hint="eastAsia" w:ascii="微软雅黑" w:hAnsi="微软雅黑" w:eastAsia="微软雅黑" w:cs="微软雅黑"/>
          <w:i w:val="0"/>
          <w:iCs w:val="0"/>
          <w:caps w:val="0"/>
          <w:color w:val="484848"/>
          <w:spacing w:val="0"/>
          <w:sz w:val="32"/>
          <w:szCs w:val="32"/>
          <w:u w:val="none"/>
          <w:bdr w:val="none" w:color="auto" w:sz="0" w:space="0"/>
        </w:rPr>
        <w:t>4</w:t>
      </w:r>
      <w:r>
        <w:rPr>
          <w:rFonts w:hint="eastAsia" w:ascii="仿宋" w:hAnsi="仿宋" w:eastAsia="仿宋" w:cs="仿宋"/>
          <w:i w:val="0"/>
          <w:iCs w:val="0"/>
          <w:caps w:val="0"/>
          <w:color w:val="484848"/>
          <w:spacing w:val="0"/>
          <w:sz w:val="32"/>
          <w:szCs w:val="32"/>
          <w:u w:val="none"/>
          <w:bdr w:val="none" w:color="auto" w:sz="0" w:space="0"/>
        </w:rPr>
        <w:t>周的长期处方，医师应当严格评估，强化患者教育，并在病历中记录，患者通过签字等方式确认。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    第十二条</w:t>
      </w:r>
      <w:r>
        <w:rPr>
          <w:rFonts w:hint="eastAsia" w:ascii="仿宋" w:hAnsi="仿宋" w:eastAsia="仿宋" w:cs="仿宋"/>
          <w:i w:val="0"/>
          <w:iCs w:val="0"/>
          <w:caps w:val="0"/>
          <w:color w:val="484848"/>
          <w:spacing w:val="0"/>
          <w:sz w:val="32"/>
          <w:szCs w:val="32"/>
          <w:u w:val="none"/>
          <w:bdr w:val="none" w:color="auto" w:sz="0" w:space="0"/>
        </w:rPr>
        <w:t> 医疗机构应当按照卫生健康行政部门制定的长期处方适用疾病病种及长期处方用药范围，为符合条件的患者提供长期处方服务。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 </w:t>
      </w:r>
      <w:r>
        <w:rPr>
          <w:rFonts w:hint="eastAsia" w:ascii="黑体" w:hAnsi="宋体" w:eastAsia="黑体" w:cs="黑体"/>
          <w:i w:val="0"/>
          <w:iCs w:val="0"/>
          <w:caps w:val="0"/>
          <w:color w:val="484848"/>
          <w:spacing w:val="0"/>
          <w:sz w:val="32"/>
          <w:szCs w:val="32"/>
          <w:u w:val="none"/>
          <w:bdr w:val="none" w:color="auto" w:sz="0" w:space="0"/>
        </w:rPr>
        <w:t>   第十三条</w:t>
      </w:r>
      <w:r>
        <w:rPr>
          <w:rFonts w:hint="eastAsia" w:ascii="仿宋" w:hAnsi="仿宋" w:eastAsia="仿宋" w:cs="仿宋"/>
          <w:i w:val="0"/>
          <w:iCs w:val="0"/>
          <w:caps w:val="0"/>
          <w:color w:val="484848"/>
          <w:spacing w:val="0"/>
          <w:sz w:val="32"/>
          <w:szCs w:val="32"/>
          <w:u w:val="none"/>
          <w:bdr w:val="none" w:color="auto" w:sz="0" w:space="0"/>
        </w:rPr>
        <w:t> 医疗机构可以在普通内科、老年医学、全科医学等科室，为患有多种疾病的老年患者提供“一站式”长期处方服务，解决老年患者多科室就医取药问题。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第十四条 </w:t>
      </w:r>
      <w:r>
        <w:rPr>
          <w:rFonts w:hint="eastAsia" w:ascii="仿宋" w:hAnsi="仿宋" w:eastAsia="仿宋" w:cs="仿宋"/>
          <w:i w:val="0"/>
          <w:iCs w:val="0"/>
          <w:caps w:val="0"/>
          <w:color w:val="484848"/>
          <w:spacing w:val="0"/>
          <w:sz w:val="32"/>
          <w:szCs w:val="32"/>
          <w:u w:val="none"/>
          <w:bdr w:val="none" w:color="auto" w:sz="0" w:space="0"/>
        </w:rPr>
        <w:t>医疗机构开具长期处方，鼓励优先选择国家基本药物、国家组织集中采购中选药品以及国家医保目录药品。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第十五条 </w:t>
      </w:r>
      <w:r>
        <w:rPr>
          <w:rFonts w:hint="eastAsia" w:ascii="仿宋" w:hAnsi="仿宋" w:eastAsia="仿宋" w:cs="仿宋"/>
          <w:i w:val="0"/>
          <w:iCs w:val="0"/>
          <w:caps w:val="0"/>
          <w:color w:val="484848"/>
          <w:spacing w:val="0"/>
          <w:sz w:val="32"/>
          <w:szCs w:val="32"/>
          <w:u w:val="none"/>
          <w:bdr w:val="none" w:color="auto" w:sz="0" w:space="0"/>
        </w:rPr>
        <w:t>基层医疗卫生机构应当加强长期处方用药的配备，确保患者长期用药可及、稳定。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第十六条 </w:t>
      </w:r>
      <w:r>
        <w:rPr>
          <w:rFonts w:hint="eastAsia" w:ascii="仿宋" w:hAnsi="仿宋" w:eastAsia="仿宋" w:cs="仿宋"/>
          <w:i w:val="0"/>
          <w:iCs w:val="0"/>
          <w:caps w:val="0"/>
          <w:color w:val="484848"/>
          <w:spacing w:val="0"/>
          <w:sz w:val="32"/>
          <w:szCs w:val="32"/>
          <w:u w:val="none"/>
          <w:bdr w:val="none" w:color="auto" w:sz="0" w:space="0"/>
        </w:rPr>
        <w:t>地方卫生健康行政部门和医疗机构不得以费用控制、药占比、绩效考核等为由影响长期处方的开具。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地方卫生健康行政部门应当</w:t>
      </w:r>
      <w:r>
        <w:rPr>
          <w:rFonts w:hint="eastAsia" w:ascii="宋体" w:hAnsi="宋体" w:eastAsia="宋体" w:cs="宋体"/>
          <w:i w:val="0"/>
          <w:iCs w:val="0"/>
          <w:caps w:val="0"/>
          <w:color w:val="484848"/>
          <w:spacing w:val="0"/>
          <w:sz w:val="32"/>
          <w:szCs w:val="32"/>
          <w:u w:val="none"/>
          <w:bdr w:val="none" w:color="auto" w:sz="0" w:space="0"/>
        </w:rPr>
        <w:t>加强</w:t>
      </w:r>
      <w:r>
        <w:rPr>
          <w:rFonts w:hint="eastAsia" w:ascii="仿宋" w:hAnsi="仿宋" w:eastAsia="仿宋" w:cs="仿宋"/>
          <w:i w:val="0"/>
          <w:iCs w:val="0"/>
          <w:caps w:val="0"/>
          <w:color w:val="484848"/>
          <w:spacing w:val="0"/>
          <w:sz w:val="32"/>
          <w:szCs w:val="32"/>
          <w:u w:val="none"/>
          <w:bdr w:val="none" w:color="auto" w:sz="0" w:space="0"/>
        </w:rPr>
        <w:t>长期处方的审核、点评、合理用药考核等工作，长期处方产生的药品费用不纳入门诊次均费用、门诊药品次均费用考核，其他考核工作也应当视情况将长期处方进行单独管理。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第三章　长期处方开具与终止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第十七条 </w:t>
      </w:r>
      <w:r>
        <w:rPr>
          <w:rFonts w:hint="eastAsia" w:ascii="仿宋" w:hAnsi="仿宋" w:eastAsia="仿宋" w:cs="仿宋"/>
          <w:i w:val="0"/>
          <w:iCs w:val="0"/>
          <w:caps w:val="0"/>
          <w:color w:val="484848"/>
          <w:spacing w:val="0"/>
          <w:sz w:val="32"/>
          <w:szCs w:val="32"/>
          <w:u w:val="none"/>
          <w:bdr w:val="none" w:color="auto" w:sz="0" w:space="0"/>
        </w:rPr>
        <w:t>对提出长期处方申请的患者，医师必须亲自诊查并对其是否符合长期处方条件作出判断。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医师在诊疗活动中，可以向符合条件的患者主动提出长期处方建议。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第十八条 </w:t>
      </w:r>
      <w:r>
        <w:rPr>
          <w:rFonts w:hint="eastAsia" w:ascii="仿宋" w:hAnsi="仿宋" w:eastAsia="仿宋" w:cs="仿宋"/>
          <w:i w:val="0"/>
          <w:iCs w:val="0"/>
          <w:caps w:val="0"/>
          <w:color w:val="484848"/>
          <w:spacing w:val="0"/>
          <w:sz w:val="32"/>
          <w:szCs w:val="32"/>
          <w:u w:val="none"/>
          <w:bdr w:val="none" w:color="auto" w:sz="0" w:space="0"/>
        </w:rPr>
        <w:t>医师应当向患者说明使用长期处方的注意事项，并由其自愿选择是否使用；对不符合条件的患者，应当向患者说明原因。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第十九条 </w:t>
      </w:r>
      <w:r>
        <w:rPr>
          <w:rFonts w:hint="eastAsia" w:ascii="仿宋" w:hAnsi="仿宋" w:eastAsia="仿宋" w:cs="仿宋"/>
          <w:i w:val="0"/>
          <w:iCs w:val="0"/>
          <w:caps w:val="0"/>
          <w:color w:val="484848"/>
          <w:spacing w:val="0"/>
          <w:sz w:val="32"/>
          <w:szCs w:val="32"/>
          <w:u w:val="none"/>
          <w:bdr w:val="none" w:color="auto" w:sz="0" w:space="0"/>
        </w:rPr>
        <w:t>首次开具长期处方前，医师应当对患者的既往史、现病史、用药方案、依从性、病情控制情况等进行全面评估，在确定当前用药方案安全、有效、稳定的情况下，方可为患者开具长期处方。首次开具长期处方，应当在患者病历中详细记录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第二十条 </w:t>
      </w:r>
      <w:r>
        <w:rPr>
          <w:rFonts w:hint="eastAsia" w:ascii="仿宋" w:hAnsi="仿宋" w:eastAsia="仿宋" w:cs="仿宋"/>
          <w:i w:val="0"/>
          <w:iCs w:val="0"/>
          <w:caps w:val="0"/>
          <w:color w:val="484848"/>
          <w:spacing w:val="0"/>
          <w:sz w:val="32"/>
          <w:szCs w:val="32"/>
          <w:u w:val="none"/>
          <w:bdr w:val="none" w:color="auto" w:sz="0" w:space="0"/>
        </w:rPr>
        <w:t>原则上，首次长期处方应当由二级以上医疗机构具有与疾病相关专业的中级以上专业技术职务任职资格的医师开具，或由基层医疗卫生机构具有中级以上专业技术职务任职资格的医师开具。再次开具长期处方时，应当由二级以上医疗机构疾病相关专业医师，或基层医疗卫生机构医师开具。鼓励患者通过基层医疗卫生机构签约家庭医生开具长期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边远地区或条件不具备的地区可适当放宽要求，具体要求由省级卫生健康行政部门根据实际情况另行规定。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    第二十一条</w:t>
      </w:r>
      <w:r>
        <w:rPr>
          <w:rFonts w:hint="eastAsia" w:ascii="仿宋" w:hAnsi="仿宋" w:eastAsia="仿宋" w:cs="仿宋"/>
          <w:i w:val="0"/>
          <w:iCs w:val="0"/>
          <w:caps w:val="0"/>
          <w:color w:val="484848"/>
          <w:spacing w:val="0"/>
          <w:sz w:val="32"/>
          <w:szCs w:val="32"/>
          <w:u w:val="none"/>
          <w:bdr w:val="none" w:color="auto" w:sz="0" w:space="0"/>
        </w:rPr>
        <w:t> 医师应当根据患者病历信息中的首次开具的长期处方信息和健康档案，对患者进行评估。经评估认为患者病情稳定并达到长期用药管理目标的，可以再次开具长期处方，并在患者病历中记录；不符合条件的，终止使用长期处方。停用后再次使用长期处方的，应当按照首次开具长期处方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第二十二条</w:t>
      </w:r>
      <w:r>
        <w:rPr>
          <w:rFonts w:hint="eastAsia" w:ascii="仿宋" w:hAnsi="仿宋" w:eastAsia="仿宋" w:cs="仿宋"/>
          <w:i w:val="0"/>
          <w:iCs w:val="0"/>
          <w:caps w:val="0"/>
          <w:color w:val="484848"/>
          <w:spacing w:val="0"/>
          <w:sz w:val="32"/>
          <w:szCs w:val="32"/>
          <w:u w:val="none"/>
          <w:bdr w:val="none" w:color="auto" w:sz="0" w:space="0"/>
        </w:rPr>
        <w:t> 出现以下情况</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需要重新评估患者病情</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判断是否终止长期处方：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    （一）患者长期用药管理未达预期目标；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（二）罹患其他疾病需其他药物治疗；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（三）患者因任何原因住院治疗；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（四）其他需要终止长期处方的情况。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第二十三条</w:t>
      </w:r>
      <w:r>
        <w:rPr>
          <w:rFonts w:hint="eastAsia" w:ascii="仿宋" w:hAnsi="仿宋" w:eastAsia="仿宋" w:cs="仿宋"/>
          <w:i w:val="0"/>
          <w:iCs w:val="0"/>
          <w:caps w:val="0"/>
          <w:color w:val="484848"/>
          <w:spacing w:val="0"/>
          <w:sz w:val="32"/>
          <w:szCs w:val="32"/>
          <w:u w:val="none"/>
          <w:bdr w:val="none" w:color="auto" w:sz="0" w:space="0"/>
        </w:rPr>
        <w:t> 开具长期处方的基层医疗卫生机构与上级医院要做好衔接，通过信息化手段等方式建立患者处方信息共享和流转机制。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第二十四条 </w:t>
      </w:r>
      <w:r>
        <w:rPr>
          <w:rFonts w:hint="eastAsia" w:ascii="仿宋" w:hAnsi="仿宋" w:eastAsia="仿宋" w:cs="仿宋"/>
          <w:i w:val="0"/>
          <w:iCs w:val="0"/>
          <w:caps w:val="0"/>
          <w:color w:val="484848"/>
          <w:spacing w:val="0"/>
          <w:sz w:val="32"/>
          <w:szCs w:val="32"/>
          <w:u w:val="none"/>
          <w:bdr w:val="none" w:color="auto" w:sz="0" w:space="0"/>
        </w:rPr>
        <w:t>长期处方样式、内容应当符合《处方管理办法》中普通处方管理的要求。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第四章　长期处方调剂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第二十五条 </w:t>
      </w:r>
      <w:r>
        <w:rPr>
          <w:rFonts w:hint="eastAsia" w:ascii="仿宋" w:hAnsi="仿宋" w:eastAsia="仿宋" w:cs="仿宋"/>
          <w:i w:val="0"/>
          <w:iCs w:val="0"/>
          <w:caps w:val="0"/>
          <w:color w:val="484848"/>
          <w:spacing w:val="0"/>
          <w:sz w:val="32"/>
          <w:szCs w:val="32"/>
          <w:u w:val="none"/>
          <w:bdr w:val="none" w:color="auto" w:sz="0" w:space="0"/>
        </w:rPr>
        <w:t>医师开具长期处方后，患者可以自主选择在医疗机构或者社会零售药店进行调剂取药。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第二十六条 </w:t>
      </w:r>
      <w:r>
        <w:rPr>
          <w:rFonts w:hint="eastAsia" w:ascii="仿宋" w:hAnsi="仿宋" w:eastAsia="仿宋" w:cs="仿宋"/>
          <w:i w:val="0"/>
          <w:iCs w:val="0"/>
          <w:caps w:val="0"/>
          <w:color w:val="484848"/>
          <w:spacing w:val="0"/>
          <w:sz w:val="32"/>
          <w:szCs w:val="32"/>
          <w:u w:val="none"/>
          <w:bdr w:val="none" w:color="auto" w:sz="0" w:space="0"/>
        </w:rPr>
        <w:t>药师对长期处方进行审核，并对患者进行用药指导和用药教育，发放用药教育材料。基层医疗卫生机构不具备条件的，应当由医联体内上级医院的药师通过互联网远程进行处方审核或提供用药指导服务。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第二十七条 </w:t>
      </w:r>
      <w:r>
        <w:rPr>
          <w:rFonts w:hint="eastAsia" w:ascii="仿宋" w:hAnsi="仿宋" w:eastAsia="仿宋" w:cs="仿宋"/>
          <w:i w:val="0"/>
          <w:iCs w:val="0"/>
          <w:caps w:val="0"/>
          <w:color w:val="484848"/>
          <w:spacing w:val="0"/>
          <w:sz w:val="32"/>
          <w:szCs w:val="32"/>
          <w:u w:val="none"/>
          <w:bdr w:val="none" w:color="auto" w:sz="0" w:space="0"/>
        </w:rPr>
        <w:t>药师在审核长期处方、提供咨询服务、调剂药品工作时，如发现药物治疗相关问题或患者存在用药安全隐患，需要进行长期处方调整、药物重整等干预时，应当立即与医师沟通进行处理。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第二十八条 </w:t>
      </w:r>
      <w:r>
        <w:rPr>
          <w:rFonts w:hint="eastAsia" w:ascii="仿宋" w:hAnsi="仿宋" w:eastAsia="仿宋" w:cs="仿宋"/>
          <w:i w:val="0"/>
          <w:iCs w:val="0"/>
          <w:caps w:val="0"/>
          <w:color w:val="484848"/>
          <w:spacing w:val="0"/>
          <w:sz w:val="32"/>
          <w:szCs w:val="32"/>
          <w:u w:val="none"/>
          <w:bdr w:val="none" w:color="auto" w:sz="0" w:space="0"/>
        </w:rPr>
        <w:t>长期处方药品原则上由患者本人领取。特殊情况下，因行动不便等原因，可由熟悉患者基本情况的人员，持本人及患者有效身份证件代为领取，并配合做好相应取药登记记录。鼓励通过配送物流延伸等方式，解决患者取药困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第五章　长期处方用药管理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第二十九条</w:t>
      </w:r>
      <w:r>
        <w:rPr>
          <w:rFonts w:hint="eastAsia" w:ascii="仿宋" w:hAnsi="仿宋" w:eastAsia="仿宋" w:cs="仿宋"/>
          <w:i w:val="0"/>
          <w:iCs w:val="0"/>
          <w:caps w:val="0"/>
          <w:color w:val="484848"/>
          <w:spacing w:val="0"/>
          <w:sz w:val="32"/>
          <w:szCs w:val="32"/>
          <w:u w:val="none"/>
          <w:bdr w:val="none" w:color="auto" w:sz="0" w:space="0"/>
        </w:rPr>
        <w:t> 医疗机构应当对长期处方定期开展合理性评价工作，持续提高长期处方合理用药水平。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第三十条 </w:t>
      </w:r>
      <w:r>
        <w:rPr>
          <w:rFonts w:hint="eastAsia" w:ascii="仿宋" w:hAnsi="仿宋" w:eastAsia="仿宋" w:cs="仿宋"/>
          <w:i w:val="0"/>
          <w:iCs w:val="0"/>
          <w:caps w:val="0"/>
          <w:color w:val="484848"/>
          <w:spacing w:val="0"/>
          <w:sz w:val="32"/>
          <w:szCs w:val="32"/>
          <w:u w:val="none"/>
          <w:bdr w:val="none" w:color="auto" w:sz="0" w:space="0"/>
        </w:rPr>
        <w:t>基层医疗卫生机构应当将本机构开具的长期处方信息纳入患者健康档案，详细记录患者诊疗和用药记录。家庭医生团队应当对患者进行定期随访管理，对患者病情变化、用药依从性和药物不良反应等进行评估，必要时及时调整或终止长期处方，并在患者健康档案及病历中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第三十一条</w:t>
      </w:r>
      <w:r>
        <w:rPr>
          <w:rFonts w:hint="eastAsia" w:ascii="仿宋" w:hAnsi="仿宋" w:eastAsia="仿宋" w:cs="仿宋"/>
          <w:i w:val="0"/>
          <w:iCs w:val="0"/>
          <w:caps w:val="0"/>
          <w:color w:val="484848"/>
          <w:spacing w:val="0"/>
          <w:sz w:val="32"/>
          <w:szCs w:val="32"/>
          <w:u w:val="none"/>
          <w:bdr w:val="none" w:color="auto" w:sz="0" w:space="0"/>
        </w:rPr>
        <w:t> 医疗机构应当建立安全用药监测与报告制度。发生药品严重不良事件后，应当积极救治患者，立即向医务和药学部门报告，做好观察与记录。按照有关规定向有关部门报告药品不良反应等信息。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第三十二条 </w:t>
      </w:r>
      <w:r>
        <w:rPr>
          <w:rFonts w:hint="eastAsia" w:ascii="仿宋" w:hAnsi="仿宋" w:eastAsia="仿宋" w:cs="仿宋"/>
          <w:i w:val="0"/>
          <w:iCs w:val="0"/>
          <w:caps w:val="0"/>
          <w:color w:val="484848"/>
          <w:spacing w:val="0"/>
          <w:sz w:val="32"/>
          <w:szCs w:val="32"/>
          <w:u w:val="none"/>
          <w:bdr w:val="none" w:color="auto" w:sz="0" w:space="0"/>
        </w:rPr>
        <w:t>医疗机构应当加强对使用长期处方患者的用药教育，增加其合理用药知识，提高自我用药管理能力和用药依从性，并告知患者在用药过程中出现任何不适，应当及时就诊。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第三十三条 </w:t>
      </w:r>
      <w:r>
        <w:rPr>
          <w:rFonts w:hint="eastAsia" w:ascii="仿宋" w:hAnsi="仿宋" w:eastAsia="仿宋" w:cs="仿宋"/>
          <w:i w:val="0"/>
          <w:iCs w:val="0"/>
          <w:caps w:val="0"/>
          <w:color w:val="484848"/>
          <w:spacing w:val="0"/>
          <w:sz w:val="32"/>
          <w:szCs w:val="32"/>
          <w:u w:val="none"/>
          <w:bdr w:val="none" w:color="auto" w:sz="0" w:space="0"/>
        </w:rPr>
        <w:t>医疗机构应当指导使用长期处方患者对药物治疗效果指标进行自我监测并作好记录。鼓励使用医疗器械类穿戴设备，提高药物治疗效果指标监测的信息化水平。在保障数据和隐私安全的前提下，可以探索通过接入互联网的远程监测设备开展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第三十四条 </w:t>
      </w:r>
      <w:r>
        <w:rPr>
          <w:rFonts w:hint="eastAsia" w:ascii="仿宋" w:hAnsi="仿宋" w:eastAsia="仿宋" w:cs="仿宋"/>
          <w:i w:val="0"/>
          <w:iCs w:val="0"/>
          <w:caps w:val="0"/>
          <w:color w:val="484848"/>
          <w:spacing w:val="0"/>
          <w:sz w:val="32"/>
          <w:szCs w:val="32"/>
          <w:u w:val="none"/>
          <w:bdr w:val="none" w:color="auto" w:sz="0" w:space="0"/>
        </w:rPr>
        <w:t>医疗机构应当指导使用长期处方患者，按照要求保存药品，确保药品质量。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第三十五条 </w:t>
      </w:r>
      <w:r>
        <w:rPr>
          <w:rFonts w:hint="eastAsia" w:ascii="仿宋" w:hAnsi="仿宋" w:eastAsia="仿宋" w:cs="仿宋"/>
          <w:i w:val="0"/>
          <w:iCs w:val="0"/>
          <w:caps w:val="0"/>
          <w:color w:val="484848"/>
          <w:spacing w:val="0"/>
          <w:sz w:val="32"/>
          <w:szCs w:val="32"/>
          <w:u w:val="none"/>
          <w:bdr w:val="none" w:color="auto" w:sz="0" w:space="0"/>
        </w:rPr>
        <w:t>医疗机构应当将长期处方患者的诊疗，纳入医疗管理统筹安排，严格落实有关疾病诊疗规范要求，加强质量控制和管理，保障医疗质量和医疗安全。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第三十六条 </w:t>
      </w:r>
      <w:r>
        <w:rPr>
          <w:rFonts w:hint="eastAsia" w:ascii="仿宋" w:hAnsi="仿宋" w:eastAsia="仿宋" w:cs="仿宋"/>
          <w:i w:val="0"/>
          <w:iCs w:val="0"/>
          <w:caps w:val="0"/>
          <w:color w:val="484848"/>
          <w:spacing w:val="0"/>
          <w:sz w:val="32"/>
          <w:szCs w:val="32"/>
          <w:u w:val="none"/>
          <w:bdr w:val="none" w:color="auto" w:sz="0" w:space="0"/>
        </w:rPr>
        <w:t>鼓励有条件的地区通过开设微信公众号、患者客户端等互联网交互方式或途径，方便患者查询长期处方信息、药品用法用量、注意事项等。探索开展长期处方患者的用药提醒、随访、用药咨询等服务。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第六章 长期处方医保支付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第三十七条 </w:t>
      </w:r>
      <w:r>
        <w:rPr>
          <w:rFonts w:hint="eastAsia" w:ascii="仿宋" w:hAnsi="仿宋" w:eastAsia="仿宋" w:cs="仿宋"/>
          <w:i w:val="0"/>
          <w:iCs w:val="0"/>
          <w:caps w:val="0"/>
          <w:color w:val="484848"/>
          <w:spacing w:val="0"/>
          <w:sz w:val="32"/>
          <w:szCs w:val="32"/>
          <w:u w:val="none"/>
          <w:bdr w:val="none" w:color="auto" w:sz="0" w:space="0"/>
        </w:rPr>
        <w:t>各地医保部门支付长期处方开具的符合规定的药品费用，不对单张处方的数量、金额等作限制，参保人按规定享受待遇。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第三十八条 </w:t>
      </w:r>
      <w:r>
        <w:rPr>
          <w:rFonts w:hint="eastAsia" w:ascii="仿宋" w:hAnsi="仿宋" w:eastAsia="仿宋" w:cs="仿宋"/>
          <w:i w:val="0"/>
          <w:iCs w:val="0"/>
          <w:caps w:val="0"/>
          <w:color w:val="484848"/>
          <w:spacing w:val="0"/>
          <w:sz w:val="32"/>
          <w:szCs w:val="32"/>
          <w:u w:val="none"/>
          <w:bdr w:val="none" w:color="auto" w:sz="0" w:space="0"/>
        </w:rPr>
        <w:t>各地在制定区域总额预算管理时，应</w:t>
      </w:r>
      <w:r>
        <w:rPr>
          <w:rFonts w:hint="eastAsia" w:ascii="宋体" w:hAnsi="宋体" w:eastAsia="宋体" w:cs="宋体"/>
          <w:i w:val="0"/>
          <w:iCs w:val="0"/>
          <w:caps w:val="0"/>
          <w:color w:val="484848"/>
          <w:spacing w:val="0"/>
          <w:sz w:val="32"/>
          <w:szCs w:val="32"/>
          <w:u w:val="none"/>
          <w:bdr w:val="none" w:color="auto" w:sz="0" w:space="0"/>
        </w:rPr>
        <w:t>当</w:t>
      </w:r>
      <w:r>
        <w:rPr>
          <w:rFonts w:hint="eastAsia" w:ascii="仿宋" w:hAnsi="仿宋" w:eastAsia="仿宋" w:cs="仿宋"/>
          <w:i w:val="0"/>
          <w:iCs w:val="0"/>
          <w:caps w:val="0"/>
          <w:color w:val="484848"/>
          <w:spacing w:val="0"/>
          <w:sz w:val="32"/>
          <w:szCs w:val="32"/>
          <w:u w:val="none"/>
          <w:bdr w:val="none" w:color="auto" w:sz="0" w:space="0"/>
        </w:rPr>
        <w:t>充分考虑长期处方因素。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第三十九条 </w:t>
      </w:r>
      <w:r>
        <w:rPr>
          <w:rFonts w:hint="eastAsia" w:ascii="仿宋" w:hAnsi="仿宋" w:eastAsia="仿宋" w:cs="仿宋"/>
          <w:i w:val="0"/>
          <w:iCs w:val="0"/>
          <w:caps w:val="0"/>
          <w:color w:val="484848"/>
          <w:spacing w:val="0"/>
          <w:sz w:val="32"/>
          <w:szCs w:val="32"/>
          <w:u w:val="none"/>
          <w:bdr w:val="none" w:color="auto" w:sz="0" w:space="0"/>
        </w:rPr>
        <w:t>各地医保部门应当提高经办服务能力，方便各医疗机构、零售药店刷卡结算，为参保人提供长期处方医保报销咨询服务。加强智能监控、智能审核，确保药品合理使用。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    第四十条 </w:t>
      </w:r>
      <w:r>
        <w:rPr>
          <w:rFonts w:hint="eastAsia" w:ascii="仿宋" w:hAnsi="仿宋" w:eastAsia="仿宋" w:cs="仿宋"/>
          <w:i w:val="0"/>
          <w:iCs w:val="0"/>
          <w:caps w:val="0"/>
          <w:color w:val="484848"/>
          <w:spacing w:val="0"/>
          <w:sz w:val="32"/>
          <w:szCs w:val="32"/>
          <w:u w:val="none"/>
          <w:bdr w:val="none" w:color="auto" w:sz="0" w:space="0"/>
        </w:rPr>
        <w:t>地方卫生健康行政部门应当会同医疗保障部门制定辖区内长期处方管理实施细则后实施。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第四十一条 </w:t>
      </w:r>
      <w:r>
        <w:rPr>
          <w:rFonts w:hint="eastAsia" w:ascii="仿宋" w:hAnsi="仿宋" w:eastAsia="仿宋" w:cs="仿宋"/>
          <w:i w:val="0"/>
          <w:iCs w:val="0"/>
          <w:caps w:val="0"/>
          <w:color w:val="484848"/>
          <w:spacing w:val="0"/>
          <w:sz w:val="32"/>
          <w:szCs w:val="32"/>
          <w:u w:val="none"/>
          <w:bdr w:val="none" w:color="auto" w:sz="0" w:space="0"/>
        </w:rPr>
        <w:t>互联网医院提供长期处方服务，应当结合其依托的实体医疗机构具备的条件，符合医疗机构药事管理、互联网诊疗管理相关规定和本规范，加强医疗质量和安全监管。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第四十二条 </w:t>
      </w:r>
      <w:r>
        <w:rPr>
          <w:rFonts w:hint="eastAsia" w:ascii="仿宋" w:hAnsi="仿宋" w:eastAsia="仿宋" w:cs="仿宋"/>
          <w:i w:val="0"/>
          <w:iCs w:val="0"/>
          <w:caps w:val="0"/>
          <w:color w:val="484848"/>
          <w:spacing w:val="0"/>
          <w:sz w:val="32"/>
          <w:szCs w:val="32"/>
          <w:u w:val="none"/>
          <w:bdr w:val="none" w:color="auto" w:sz="0" w:space="0"/>
        </w:rPr>
        <w:t>基层医疗卫生机构，是指乡镇卫生院、社区卫生服务中心（站）、村卫生室、医务室、门诊部和诊所等。</w:t>
      </w:r>
      <w:r>
        <w:rPr>
          <w:rFonts w:hint="eastAsia" w:ascii="宋体" w:hAnsi="宋体" w:eastAsia="宋体" w:cs="宋体"/>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i w:val="0"/>
          <w:iCs w:val="0"/>
          <w:caps w:val="0"/>
          <w:color w:val="484848"/>
          <w:spacing w:val="0"/>
          <w:sz w:val="21"/>
          <w:szCs w:val="21"/>
          <w:u w:val="none"/>
        </w:rPr>
      </w:pPr>
      <w:r>
        <w:rPr>
          <w:rFonts w:hint="eastAsia" w:ascii="黑体" w:hAnsi="宋体" w:eastAsia="黑体" w:cs="黑体"/>
          <w:i w:val="0"/>
          <w:iCs w:val="0"/>
          <w:caps w:val="0"/>
          <w:color w:val="484848"/>
          <w:spacing w:val="0"/>
          <w:sz w:val="32"/>
          <w:szCs w:val="32"/>
          <w:u w:val="none"/>
          <w:bdr w:val="none" w:color="auto" w:sz="0" w:space="0"/>
        </w:rPr>
        <w:t>第四十三条</w:t>
      </w:r>
      <w:r>
        <w:rPr>
          <w:rFonts w:hint="eastAsia" w:ascii="仿宋" w:hAnsi="仿宋" w:eastAsia="仿宋" w:cs="仿宋"/>
          <w:i w:val="0"/>
          <w:iCs w:val="0"/>
          <w:caps w:val="0"/>
          <w:color w:val="484848"/>
          <w:spacing w:val="0"/>
          <w:sz w:val="32"/>
          <w:szCs w:val="32"/>
          <w:u w:val="none"/>
          <w:bdr w:val="none" w:color="auto" w:sz="0" w:space="0"/>
        </w:rPr>
        <w:t> 本规范自印发之日起施行。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0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2021-12-28T01:43:39Z</dcterms:created>
  <dc:creator>Administrator</dc:creator>
  <cp:lastModifiedBy>Administrator</cp:lastModifiedBy>
  <dcterms:modified xsi:type="dcterms:W3CDTF">2021-12-28T01:43:53Z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BC8AF7E7463144FB88F71AFB1E5AE052</vt:lpwstr>
  </property>
</Properties>
</file>