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99C5E">
      <w:pPr>
        <w:keepNext w:val="0"/>
        <w:keepLines w:val="0"/>
        <w:pageBreakBefore w:val="0"/>
        <w:kinsoku/>
        <w:wordWrap/>
        <w:overflowPunct/>
        <w:topLinePunct w:val="0"/>
        <w:autoSpaceDE/>
        <w:autoSpaceDN/>
        <w:bidi w:val="0"/>
        <w:adjustRightInd/>
        <w:spacing w:line="480" w:lineRule="exact"/>
        <w:jc w:val="center"/>
        <w:textAlignment w:val="auto"/>
        <w:rPr>
          <w:rFonts w:hint="eastAsia" w:asciiTheme="minorEastAsia" w:hAnsiTheme="minorEastAsia" w:cstheme="minorEastAsia"/>
          <w:b/>
          <w:sz w:val="36"/>
          <w:szCs w:val="36"/>
          <w:lang w:val="en-US" w:eastAsia="zh-CN"/>
        </w:rPr>
      </w:pPr>
      <w:r>
        <w:rPr>
          <w:rFonts w:hint="eastAsia" w:asciiTheme="minorEastAsia" w:hAnsiTheme="minorEastAsia" w:eastAsiaTheme="minorEastAsia" w:cstheme="minorEastAsia"/>
          <w:b/>
          <w:sz w:val="36"/>
          <w:szCs w:val="36"/>
        </w:rPr>
        <w:t>20</w:t>
      </w:r>
      <w:r>
        <w:rPr>
          <w:rFonts w:hint="eastAsia" w:asciiTheme="minorEastAsia" w:hAnsiTheme="minorEastAsia" w:cstheme="minorEastAsia"/>
          <w:b/>
          <w:sz w:val="36"/>
          <w:szCs w:val="36"/>
          <w:lang w:val="en-US" w:eastAsia="zh-CN"/>
        </w:rPr>
        <w:t>25</w:t>
      </w:r>
      <w:r>
        <w:rPr>
          <w:rFonts w:hint="eastAsia" w:asciiTheme="minorEastAsia" w:hAnsiTheme="minorEastAsia" w:eastAsiaTheme="minorEastAsia" w:cstheme="minorEastAsia"/>
          <w:b/>
          <w:sz w:val="36"/>
          <w:szCs w:val="36"/>
        </w:rPr>
        <w:t>年南昌大学</w:t>
      </w:r>
      <w:r>
        <w:rPr>
          <w:rFonts w:hint="eastAsia" w:asciiTheme="minorEastAsia" w:hAnsiTheme="minorEastAsia" w:cstheme="minorEastAsia"/>
          <w:b/>
          <w:sz w:val="36"/>
          <w:szCs w:val="36"/>
          <w:lang w:val="en-US" w:eastAsia="zh-CN"/>
        </w:rPr>
        <w:t>第一临床医学院</w:t>
      </w:r>
    </w:p>
    <w:p w14:paraId="26E9A181">
      <w:pPr>
        <w:keepNext w:val="0"/>
        <w:keepLines w:val="0"/>
        <w:pageBreakBefore w:val="0"/>
        <w:kinsoku/>
        <w:wordWrap/>
        <w:overflowPunct/>
        <w:topLinePunct w:val="0"/>
        <w:autoSpaceDE/>
        <w:autoSpaceDN/>
        <w:bidi w:val="0"/>
        <w:adjustRightInd/>
        <w:spacing w:line="480" w:lineRule="exact"/>
        <w:jc w:val="center"/>
        <w:textAlignment w:val="auto"/>
        <w:rPr>
          <w:rFonts w:hint="eastAsia" w:asciiTheme="minorEastAsia" w:hAnsiTheme="minorEastAsia" w:eastAsiaTheme="minorEastAsia" w:cstheme="minorEastAsia"/>
          <w:b/>
          <w:sz w:val="36"/>
          <w:szCs w:val="36"/>
        </w:rPr>
      </w:pPr>
      <w:r>
        <w:rPr>
          <w:rFonts w:hint="eastAsia" w:asciiTheme="minorEastAsia" w:hAnsiTheme="minorEastAsia" w:cstheme="minorEastAsia"/>
          <w:b/>
          <w:sz w:val="36"/>
          <w:szCs w:val="36"/>
          <w:lang w:val="en-US" w:eastAsia="zh-CN"/>
        </w:rPr>
        <w:t>医学影像学</w:t>
      </w:r>
      <w:r>
        <w:rPr>
          <w:rFonts w:hint="eastAsia" w:asciiTheme="minorEastAsia" w:hAnsiTheme="minorEastAsia" w:eastAsiaTheme="minorEastAsia" w:cstheme="minorEastAsia"/>
          <w:b/>
          <w:sz w:val="36"/>
          <w:szCs w:val="36"/>
        </w:rPr>
        <w:t>本科</w:t>
      </w:r>
      <w:r>
        <w:rPr>
          <w:rFonts w:hint="eastAsia" w:asciiTheme="minorEastAsia" w:hAnsiTheme="minorEastAsia" w:cstheme="minorEastAsia"/>
          <w:b/>
          <w:sz w:val="36"/>
          <w:szCs w:val="36"/>
          <w:lang w:val="en-US" w:eastAsia="zh-CN"/>
        </w:rPr>
        <w:t>招生</w:t>
      </w:r>
      <w:r>
        <w:rPr>
          <w:rFonts w:hint="eastAsia" w:asciiTheme="minorEastAsia" w:hAnsiTheme="minorEastAsia" w:eastAsiaTheme="minorEastAsia" w:cstheme="minorEastAsia"/>
          <w:b/>
          <w:sz w:val="36"/>
          <w:szCs w:val="36"/>
        </w:rPr>
        <w:t>专业介绍</w:t>
      </w:r>
    </w:p>
    <w:p w14:paraId="6384817B">
      <w:pPr>
        <w:keepNext w:val="0"/>
        <w:keepLines w:val="0"/>
        <w:pageBreakBefore w:val="0"/>
        <w:kinsoku/>
        <w:wordWrap/>
        <w:overflowPunct/>
        <w:topLinePunct w:val="0"/>
        <w:autoSpaceDE/>
        <w:autoSpaceDN/>
        <w:bidi w:val="0"/>
        <w:adjustRightInd/>
        <w:spacing w:line="480" w:lineRule="exact"/>
        <w:jc w:val="both"/>
        <w:textAlignment w:val="auto"/>
        <w:rPr>
          <w:rFonts w:hint="eastAsia" w:asciiTheme="minorEastAsia" w:hAnsiTheme="minorEastAsia" w:eastAsiaTheme="minorEastAsia" w:cstheme="minorEastAsia"/>
          <w:b/>
          <w:sz w:val="36"/>
          <w:szCs w:val="36"/>
        </w:rPr>
      </w:pPr>
      <w:bookmarkStart w:id="0" w:name="_GoBack"/>
      <w:bookmarkEnd w:id="0"/>
    </w:p>
    <w:p w14:paraId="14FAF11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bCs/>
          <w:sz w:val="28"/>
          <w:szCs w:val="28"/>
          <w:lang w:val="en-US" w:eastAsia="zh-CN"/>
        </w:rPr>
        <w:t>专业标签：</w:t>
      </w:r>
      <w:r>
        <w:rPr>
          <w:rFonts w:hint="eastAsia" w:asciiTheme="minorEastAsia" w:hAnsiTheme="minorEastAsia" w:cstheme="minorEastAsia"/>
          <w:b w:val="0"/>
          <w:bCs w:val="0"/>
          <w:sz w:val="28"/>
          <w:szCs w:val="28"/>
          <w:lang w:val="en-US" w:eastAsia="zh-CN"/>
        </w:rPr>
        <w:t>教育部特色专业建设点丨省级</w:t>
      </w:r>
      <w:r>
        <w:rPr>
          <w:rFonts w:hint="eastAsia" w:asciiTheme="minorEastAsia" w:hAnsiTheme="minorEastAsia" w:cstheme="minorEastAsia"/>
          <w:b w:val="0"/>
          <w:bCs w:val="0"/>
          <w:sz w:val="28"/>
          <w:szCs w:val="28"/>
          <w:lang w:val="en-US" w:eastAsia="zh-CN"/>
        </w:rPr>
        <w:t>本科品牌专业丨省级一流本科专业丨区域领先专业</w:t>
      </w:r>
    </w:p>
    <w:p w14:paraId="7EDF4284">
      <w:pPr>
        <w:keepNext w:val="0"/>
        <w:keepLines w:val="0"/>
        <w:pageBreakBefore w:val="0"/>
        <w:kinsoku/>
        <w:wordWrap/>
        <w:overflowPunct/>
        <w:topLinePunct w:val="0"/>
        <w:autoSpaceDE/>
        <w:autoSpaceDN/>
        <w:bidi w:val="0"/>
        <w:adjustRightInd/>
        <w:spacing w:line="480" w:lineRule="exact"/>
        <w:jc w:val="both"/>
        <w:textAlignment w:val="auto"/>
        <w:rPr>
          <w:rFonts w:hint="eastAsia" w:asciiTheme="minorEastAsia" w:hAnsiTheme="minorEastAsia" w:cstheme="minorEastAsia"/>
          <w:b/>
          <w:bCs/>
          <w:sz w:val="28"/>
          <w:szCs w:val="28"/>
          <w:lang w:val="en-US" w:eastAsia="zh-CN"/>
        </w:rPr>
      </w:pPr>
      <w:r>
        <w:rPr>
          <w:rFonts w:hint="default" w:asciiTheme="minorEastAsia" w:hAnsiTheme="minorEastAsia" w:cstheme="minorEastAsia"/>
          <w:b/>
          <w:bCs/>
          <w:sz w:val="28"/>
          <w:szCs w:val="28"/>
          <w:lang w:eastAsia="zh-CN"/>
        </w:rPr>
        <w:t>一、</w:t>
      </w:r>
      <w:r>
        <w:rPr>
          <w:rFonts w:hint="eastAsia" w:asciiTheme="minorEastAsia" w:hAnsiTheme="minorEastAsia" w:cstheme="minorEastAsia"/>
          <w:b/>
          <w:bCs/>
          <w:sz w:val="28"/>
          <w:szCs w:val="28"/>
          <w:lang w:val="en-US" w:eastAsia="zh-CN"/>
        </w:rPr>
        <w:t>我们是什么</w:t>
      </w:r>
    </w:p>
    <w:p w14:paraId="045EFAA5">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南昌大学医学影像学专业是国家教育部特色专业建设点、江西省高校本科品牌专业、江西省一流本科专业。2024年软科中国大学专业排名显示南昌大学医学影像学专业进入全国排名前25%（排名第15位），评级结果为B+。</w:t>
      </w:r>
    </w:p>
    <w:p w14:paraId="5FC6E738">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南昌大学医学影像学专业始创于1990年并招收5年全日制本科生，为江西省首批开设医学影像学专业的院校，教学结构覆盖“本-硕-博”贯通式人才培养通道。自专业开设以来，凭借深厚的教学底蕴、强大的师资力量以及先进的教学理念，在医学影像学教育领域占据重要地位，连续多年全省录取分数线位居前列，2022年高考升学网考生填报志愿选择专业的全国公办本科大学医学影像学专业地区排名第一。</w:t>
      </w:r>
    </w:p>
    <w:p w14:paraId="4618BF22">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作为医学领域中专注于疾病影像诊断与分析的特色专业，南昌大学第一临床医学院医学影像学专业肩负着为医疗卫生事业培养专业影像人才的重任。我们致力于培养具备扎实医学基础知识、精湛影像学专业技能、敏锐临床思维能力以及良好职业道德素养的复合型人才。毕业生不仅能够熟练运用各种影像设备获取精准的医学图像，还能依据图像特征准确判断病情，为临床治疗提供关键依据，成为守护患者健康的“影像侦探”。</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C5B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tcPr>
          <w:p w14:paraId="630180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cstheme="minorEastAsia"/>
                <w:sz w:val="28"/>
                <w:szCs w:val="28"/>
                <w:vertAlign w:val="baseline"/>
                <w:lang w:val="en-US" w:eastAsia="zh-CN"/>
              </w:rPr>
            </w:pPr>
            <w:r>
              <w:rPr>
                <w:rFonts w:hint="eastAsia" w:asciiTheme="minorEastAsia" w:hAnsiTheme="minorEastAsia" w:cstheme="minorEastAsia"/>
                <w:sz w:val="28"/>
                <w:szCs w:val="28"/>
                <w:vertAlign w:val="baseline"/>
                <w:lang w:val="en-US" w:eastAsia="zh-CN"/>
              </w:rPr>
              <w:drawing>
                <wp:inline distT="0" distB="0" distL="114300" distR="114300">
                  <wp:extent cx="5233670" cy="1911350"/>
                  <wp:effectExtent l="0" t="0" r="11430" b="635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4"/>
                          <a:srcRect l="759"/>
                          <a:stretch>
                            <a:fillRect/>
                          </a:stretch>
                        </pic:blipFill>
                        <pic:spPr>
                          <a:xfrm>
                            <a:off x="0" y="0"/>
                            <a:ext cx="5233670" cy="1911350"/>
                          </a:xfrm>
                          <a:prstGeom prst="rect">
                            <a:avLst/>
                          </a:prstGeom>
                        </pic:spPr>
                      </pic:pic>
                    </a:graphicData>
                  </a:graphic>
                </wp:inline>
              </w:drawing>
            </w:r>
          </w:p>
        </w:tc>
      </w:tr>
    </w:tbl>
    <w:p w14:paraId="645D93E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p>
    <w:p w14:paraId="6BDC9185">
      <w:pPr>
        <w:keepNext w:val="0"/>
        <w:keepLines w:val="0"/>
        <w:pageBreakBefore w:val="0"/>
        <w:widowControl w:val="0"/>
        <w:kinsoku/>
        <w:wordWrap/>
        <w:overflowPunct/>
        <w:topLinePunct w:val="0"/>
        <w:autoSpaceDE/>
        <w:autoSpaceDN/>
        <w:bidi w:val="0"/>
        <w:adjustRightInd/>
        <w:snapToGrid/>
        <w:spacing w:line="240" w:lineRule="auto"/>
        <w:ind w:firstLine="1687" w:firstLineChars="700"/>
        <w:jc w:val="left"/>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图1：主要工作内容涉及影像科、超声科、核医学科</w:t>
      </w:r>
    </w:p>
    <w:p w14:paraId="4DC8088F">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left"/>
        <w:textAlignment w:val="auto"/>
        <w:rPr>
          <w:rFonts w:hint="eastAsia" w:asciiTheme="minorEastAsia" w:hAnsiTheme="minorEastAsia" w:cstheme="minorEastAsia"/>
          <w:sz w:val="28"/>
          <w:szCs w:val="28"/>
          <w:lang w:val="en-US" w:eastAsia="zh-CN"/>
        </w:rPr>
      </w:pPr>
    </w:p>
    <w:p w14:paraId="679DF589">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Theme="minorEastAsia" w:hAnsiTheme="minorEastAsia" w:cstheme="minorEastAsia"/>
          <w:b/>
          <w:bCs/>
          <w:sz w:val="28"/>
          <w:szCs w:val="28"/>
          <w:lang w:val="en-US" w:eastAsia="zh-CN"/>
        </w:rPr>
      </w:pPr>
      <w:r>
        <w:rPr>
          <w:rFonts w:hint="default" w:asciiTheme="minorEastAsia" w:hAnsiTheme="minorEastAsia" w:cstheme="minorEastAsia"/>
          <w:b/>
          <w:bCs/>
          <w:sz w:val="28"/>
          <w:szCs w:val="28"/>
          <w:lang w:eastAsia="zh-CN"/>
        </w:rPr>
        <w:t>二、</w:t>
      </w:r>
      <w:r>
        <w:rPr>
          <w:rFonts w:hint="eastAsia" w:asciiTheme="minorEastAsia" w:hAnsiTheme="minorEastAsia" w:cstheme="minorEastAsia"/>
          <w:b/>
          <w:bCs/>
          <w:sz w:val="28"/>
          <w:szCs w:val="28"/>
          <w:lang w:val="en-US" w:eastAsia="zh-CN"/>
        </w:rPr>
        <w:t>我们学什么</w:t>
      </w:r>
    </w:p>
    <w:p w14:paraId="51860A0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heme="minorEastAsia" w:hAnsiTheme="minorEastAsia" w:cstheme="minorEastAsia"/>
          <w:b/>
          <w:bCs/>
          <w:sz w:val="28"/>
          <w:szCs w:val="28"/>
          <w:lang w:eastAsia="zh-CN"/>
        </w:rPr>
      </w:pPr>
      <w:r>
        <w:rPr>
          <w:rFonts w:hint="eastAsia" w:asciiTheme="minorEastAsia" w:hAnsiTheme="minorEastAsia" w:cstheme="minorEastAsia"/>
          <w:b/>
          <w:bCs/>
          <w:sz w:val="28"/>
          <w:szCs w:val="28"/>
          <w:lang w:val="en-US" w:eastAsia="zh-CN"/>
        </w:rPr>
        <w:t>（一）培养方式与课程体系</w:t>
      </w:r>
      <w:r>
        <w:rPr>
          <w:rFonts w:hint="default" w:asciiTheme="minorEastAsia" w:hAnsiTheme="minorEastAsia" w:cstheme="minorEastAsia"/>
          <w:b/>
          <w:bCs/>
          <w:sz w:val="28"/>
          <w:szCs w:val="28"/>
          <w:lang w:eastAsia="zh-CN"/>
        </w:rPr>
        <w:t>：</w:t>
      </w:r>
    </w:p>
    <w:p w14:paraId="476242A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1.培养方针：强医学底蕴，精影像本领，铸专业英才</w:t>
      </w:r>
    </w:p>
    <w:p w14:paraId="1AD6BA1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heme="minorEastAsia" w:hAnsiTheme="minorEastAsia" w:eastAsiaTheme="minorEastAsia" w:cstheme="minorEastAsia"/>
          <w:b w:val="0"/>
          <w:bCs w:val="0"/>
          <w:sz w:val="28"/>
          <w:szCs w:val="28"/>
          <w:lang w:eastAsia="zh-CN"/>
        </w:rPr>
      </w:pPr>
      <w:r>
        <w:rPr>
          <w:rFonts w:hint="eastAsia" w:asciiTheme="minorEastAsia" w:hAnsiTheme="minorEastAsia" w:cstheme="minorEastAsia"/>
          <w:b/>
          <w:bCs/>
          <w:sz w:val="28"/>
          <w:szCs w:val="28"/>
          <w:lang w:val="en-US" w:eastAsia="zh-CN"/>
        </w:rPr>
        <w:t>2.培养方式</w:t>
      </w:r>
      <w:r>
        <w:rPr>
          <w:rFonts w:hint="default" w:asciiTheme="minorEastAsia" w:hAnsiTheme="minorEastAsia" w:cstheme="minorEastAsia"/>
          <w:b/>
          <w:bCs/>
          <w:sz w:val="28"/>
          <w:szCs w:val="28"/>
          <w:lang w:eastAsia="zh-CN"/>
        </w:rPr>
        <w:t>：</w:t>
      </w:r>
      <w:r>
        <w:rPr>
          <w:rFonts w:hint="default" w:asciiTheme="minorEastAsia" w:hAnsiTheme="minorEastAsia" w:cstheme="minorEastAsia"/>
          <w:b w:val="0"/>
          <w:bCs w:val="0"/>
          <w:sz w:val="28"/>
          <w:szCs w:val="28"/>
          <w:lang w:eastAsia="zh-CN"/>
        </w:rPr>
        <w:t>学制五年，学业期满且成绩合格者，授予医学学士学位。注重理论与实践深度融合，通过课堂讲授、案例分析、实践操作、临床见习与实习等多元化教学方法，全面提升学生的专业素养与实践能力。</w:t>
      </w:r>
    </w:p>
    <w:p w14:paraId="23B604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b/>
          <w:bCs/>
          <w:sz w:val="28"/>
          <w:szCs w:val="28"/>
          <w:lang w:val="en-US" w:eastAsia="zh-CN"/>
        </w:rPr>
        <w:t>3.课程体系</w:t>
      </w:r>
      <w:r>
        <w:rPr>
          <w:rFonts w:hint="default" w:asciiTheme="minorEastAsia" w:hAnsiTheme="minorEastAsia" w:cstheme="minorEastAsia"/>
          <w:b/>
          <w:bCs/>
          <w:sz w:val="28"/>
          <w:szCs w:val="28"/>
          <w:lang w:eastAsia="zh-CN"/>
        </w:rPr>
        <w:t>：</w:t>
      </w:r>
      <w:r>
        <w:rPr>
          <w:rFonts w:hint="eastAsia" w:asciiTheme="minorEastAsia" w:hAnsiTheme="minorEastAsia" w:eastAsiaTheme="minorEastAsia" w:cstheme="minorEastAsia"/>
          <w:sz w:val="28"/>
          <w:szCs w:val="28"/>
          <w:lang w:val="en-US" w:eastAsia="zh-CN"/>
        </w:rPr>
        <w:t>构建了完善且系统的课程体系，涵盖公共基础课程、通识教育课程、专业教育课程以及创新创业教育课程。其中，公共基础课程夯实学生的人文社科与自然科学基础；通识教育课程拓宽学生的知识面与视野；专业教育课程则聚焦于医学影像学专业知识与技能的传授；创新创业教育课程激发学生的创新思维与创业意识。</w:t>
      </w:r>
    </w:p>
    <w:p w14:paraId="0B332F88">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（二）专业学习内容</w:t>
      </w:r>
    </w:p>
    <w:p w14:paraId="0A04287B">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1.基础医学：解剖学、生理学、病理学、药理学等。</w:t>
      </w:r>
    </w:p>
    <w:p w14:paraId="06EEE51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default" w:asciiTheme="minorEastAsia" w:hAnsiTheme="minorEastAsia" w:cstheme="minorEastAsia"/>
          <w:sz w:val="28"/>
          <w:szCs w:val="28"/>
          <w:lang w:val="en-US" w:eastAsia="zh-CN"/>
        </w:rPr>
        <w:t>临床医学:人体解剖学、医学生物学、病理学、药理学、病理生理学、组织学与胚胎学、医学微生物学、医学伦理学、诊断学、内科学、外科学、妇产科学、儿科学、生理学、生物化学与分子学、预防医学、医学统计学</w:t>
      </w:r>
    </w:p>
    <w:p w14:paraId="41CBC4C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default" w:asciiTheme="minorEastAsia" w:hAnsiTheme="minorEastAsia" w:cstheme="minorEastAsia"/>
          <w:sz w:val="28"/>
          <w:szCs w:val="28"/>
          <w:lang w:val="en-US" w:eastAsia="zh-CN"/>
        </w:rPr>
        <w:t>专业课程:断层解剖学、医学影像诊断学、影像核医学、超声诊断学、影像物理学、医学影像成像原理、影像设备与技术学</w:t>
      </w:r>
    </w:p>
    <w:p w14:paraId="04F69AC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4.临床实习：影像科实习、超声科实习、核医学科实习、介入科实习、其他科室实习等。</w:t>
      </w:r>
    </w:p>
    <w:p w14:paraId="34D83041">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5.科研能力：文献检索与阅读、科研设计与实施等。</w:t>
      </w:r>
    </w:p>
    <w:p w14:paraId="6EFC279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6.法律法规与伦理：医疗法规、医学伦理等。</w:t>
      </w:r>
    </w:p>
    <w:p w14:paraId="5062DB4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（三）精彩学术活动</w:t>
      </w:r>
    </w:p>
    <w:p w14:paraId="69EE7EC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1.学术讲座</w:t>
      </w:r>
    </w:p>
    <w:p w14:paraId="67B2ED34">
      <w:pPr>
        <w:keepNext w:val="0"/>
        <w:keepLines w:val="0"/>
        <w:pageBreakBefore w:val="0"/>
        <w:widowControl w:val="0"/>
        <w:kinsoku/>
        <w:wordWrap/>
        <w:overflowPunct/>
        <w:topLinePunct w:val="0"/>
        <w:autoSpaceDE/>
        <w:autoSpaceDN/>
        <w:bidi w:val="0"/>
        <w:adjustRightInd/>
        <w:snapToGrid/>
        <w:spacing w:line="500" w:lineRule="exact"/>
        <w:ind w:firstLine="420" w:firstLineChars="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定期邀请国内外知名医学影像学专家学者举办学术讲座，内容涵盖最新的影像技术进展、前沿研究成果以及临床实践经验分享，让学生及时了解行业动态，拓宽学术视野。</w:t>
      </w:r>
    </w:p>
    <w:p w14:paraId="02AF152C">
      <w:pPr>
        <w:keepNext w:val="0"/>
        <w:keepLines w:val="0"/>
        <w:pageBreakBefore w:val="0"/>
        <w:widowControl w:val="0"/>
        <w:kinsoku/>
        <w:wordWrap/>
        <w:overflowPunct/>
        <w:topLinePunct w:val="0"/>
        <w:autoSpaceDE/>
        <w:autoSpaceDN/>
        <w:bidi w:val="0"/>
        <w:adjustRightInd/>
        <w:snapToGrid/>
        <w:spacing w:line="240" w:lineRule="auto"/>
        <w:ind w:firstLine="1470" w:firstLineChars="700"/>
        <w:jc w:val="left"/>
        <w:textAlignment w:val="auto"/>
      </w:pPr>
      <w:r>
        <w:drawing>
          <wp:inline distT="0" distB="0" distL="114300" distR="114300">
            <wp:extent cx="3785870" cy="2676525"/>
            <wp:effectExtent l="0" t="0" r="11430" b="3175"/>
            <wp:docPr id="6145"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614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85870" cy="2676602"/>
                    </a:xfrm>
                    <a:prstGeom prst="rect">
                      <a:avLst/>
                    </a:prstGeom>
                  </pic:spPr>
                </pic:pic>
              </a:graphicData>
            </a:graphic>
          </wp:inline>
        </w:drawing>
      </w:r>
    </w:p>
    <w:p w14:paraId="7E64A647">
      <w:pPr>
        <w:keepNext w:val="0"/>
        <w:keepLines w:val="0"/>
        <w:pageBreakBefore w:val="0"/>
        <w:widowControl w:val="0"/>
        <w:kinsoku/>
        <w:wordWrap/>
        <w:overflowPunct/>
        <w:topLinePunct w:val="0"/>
        <w:autoSpaceDE/>
        <w:autoSpaceDN/>
        <w:bidi w:val="0"/>
        <w:adjustRightInd/>
        <w:snapToGrid/>
        <w:spacing w:line="240" w:lineRule="auto"/>
        <w:ind w:firstLine="1687" w:firstLineChars="700"/>
        <w:jc w:val="left"/>
        <w:textAlignment w:val="auto"/>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图2：</w:t>
      </w:r>
      <w:r>
        <w:rPr>
          <w:rFonts w:hint="default" w:asciiTheme="minorEastAsia" w:hAnsiTheme="minorEastAsia" w:cstheme="minorEastAsia"/>
          <w:b/>
          <w:bCs/>
          <w:sz w:val="24"/>
          <w:szCs w:val="24"/>
          <w:lang w:val="en-US" w:eastAsia="zh-CN"/>
        </w:rPr>
        <w:t>“本硕协同”的教改模式</w:t>
      </w:r>
    </w:p>
    <w:p w14:paraId="3CF2B996">
      <w:pPr>
        <w:keepNext w:val="0"/>
        <w:keepLines w:val="0"/>
        <w:pageBreakBefore w:val="0"/>
        <w:widowControl w:val="0"/>
        <w:kinsoku/>
        <w:wordWrap/>
        <w:overflowPunct/>
        <w:topLinePunct w:val="0"/>
        <w:autoSpaceDE/>
        <w:autoSpaceDN/>
        <w:bidi w:val="0"/>
        <w:adjustRightInd/>
        <w:snapToGrid/>
        <w:spacing w:line="500" w:lineRule="exact"/>
        <w:ind w:firstLine="420" w:firstLineChars="0"/>
        <w:jc w:val="left"/>
        <w:textAlignment w:val="auto"/>
        <w:rPr>
          <w:rFonts w:hint="eastAsia" w:asciiTheme="minorEastAsia" w:hAnsiTheme="minorEastAsia" w:cstheme="minorEastAsia"/>
          <w:b w:val="0"/>
          <w:bCs w:val="0"/>
          <w:sz w:val="28"/>
          <w:szCs w:val="28"/>
          <w:lang w:val="en-US" w:eastAsia="zh-CN"/>
        </w:rPr>
      </w:pPr>
    </w:p>
    <w:p w14:paraId="493B77F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eastAsiaTheme="minorEastAsia" w:cstheme="minorEastAsia"/>
          <w:b/>
          <w:bCs/>
          <w:kern w:val="2"/>
          <w:sz w:val="28"/>
          <w:szCs w:val="28"/>
          <w:lang w:val="en-US" w:eastAsia="zh-CN" w:bidi="ar-SA"/>
        </w:rPr>
        <w:t>2.</w:t>
      </w:r>
      <w:r>
        <w:rPr>
          <w:rFonts w:hint="eastAsia" w:asciiTheme="minorEastAsia" w:hAnsiTheme="minorEastAsia" w:cstheme="minorEastAsia"/>
          <w:b/>
          <w:bCs/>
          <w:sz w:val="28"/>
          <w:szCs w:val="28"/>
          <w:lang w:val="en-US" w:eastAsia="zh-CN"/>
        </w:rPr>
        <w:t>病例讨论</w:t>
      </w:r>
    </w:p>
    <w:p w14:paraId="072CF13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组织开展病例讨论活动，选取典型或疑难的临床病例，引导学生运用所学知识进行影像分析与诊断推理，锻炼学生的临床思维能力与团队协作精神。</w:t>
      </w:r>
    </w:p>
    <w:p w14:paraId="11C557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drawing>
          <wp:inline distT="0" distB="0" distL="114300" distR="114300">
            <wp:extent cx="3221990" cy="2563495"/>
            <wp:effectExtent l="0" t="0" r="3810" b="190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6"/>
                    <a:stretch>
                      <a:fillRect/>
                    </a:stretch>
                  </pic:blipFill>
                  <pic:spPr>
                    <a:xfrm>
                      <a:off x="0" y="0"/>
                      <a:ext cx="3221990" cy="2563495"/>
                    </a:xfrm>
                    <a:prstGeom prst="rect">
                      <a:avLst/>
                    </a:prstGeom>
                  </pic:spPr>
                </pic:pic>
              </a:graphicData>
            </a:graphic>
          </wp:inline>
        </w:drawing>
      </w:r>
    </w:p>
    <w:p w14:paraId="25286476">
      <w:pPr>
        <w:keepNext w:val="0"/>
        <w:keepLines w:val="0"/>
        <w:pageBreakBefore w:val="0"/>
        <w:widowControl w:val="0"/>
        <w:kinsoku/>
        <w:wordWrap/>
        <w:overflowPunct/>
        <w:topLinePunct w:val="0"/>
        <w:autoSpaceDE/>
        <w:autoSpaceDN/>
        <w:bidi w:val="0"/>
        <w:adjustRightInd/>
        <w:snapToGrid/>
        <w:spacing w:line="240" w:lineRule="auto"/>
        <w:ind w:firstLine="1687" w:firstLineChars="700"/>
        <w:jc w:val="center"/>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图3：影像科病例讨论——“沉浸式”实景教学</w:t>
      </w:r>
    </w:p>
    <w:p w14:paraId="6B716AF9">
      <w:pPr>
        <w:keepNext w:val="0"/>
        <w:keepLines w:val="0"/>
        <w:pageBreakBefore w:val="0"/>
        <w:widowControl w:val="0"/>
        <w:kinsoku/>
        <w:wordWrap/>
        <w:overflowPunct/>
        <w:topLinePunct w:val="0"/>
        <w:autoSpaceDE/>
        <w:autoSpaceDN/>
        <w:bidi w:val="0"/>
        <w:adjustRightInd/>
        <w:snapToGrid/>
        <w:spacing w:line="240" w:lineRule="auto"/>
        <w:ind w:firstLine="1687" w:firstLineChars="700"/>
        <w:jc w:val="center"/>
        <w:textAlignment w:val="auto"/>
        <w:rPr>
          <w:rFonts w:hint="eastAsia" w:asciiTheme="minorEastAsia" w:hAnsiTheme="minorEastAsia" w:cstheme="minorEastAsia"/>
          <w:b/>
          <w:bCs/>
          <w:sz w:val="24"/>
          <w:szCs w:val="24"/>
          <w:lang w:val="en-US" w:eastAsia="zh-CN"/>
        </w:rPr>
      </w:pPr>
    </w:p>
    <w:p w14:paraId="25121B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0"/>
        <w:jc w:val="center"/>
        <w:textAlignment w:val="auto"/>
        <w:rPr>
          <w:rFonts w:hint="eastAsia" w:asciiTheme="minorEastAsia" w:hAnsiTheme="minorEastAsia" w:cstheme="minorEastAsia"/>
          <w:b w:val="0"/>
          <w:bCs w:val="0"/>
          <w:sz w:val="28"/>
          <w:szCs w:val="28"/>
          <w:lang w:val="en-US" w:eastAsia="zh-CN"/>
        </w:rPr>
      </w:pPr>
      <w:r>
        <w:drawing>
          <wp:inline distT="0" distB="0" distL="114300" distR="114300">
            <wp:extent cx="2830195" cy="2123440"/>
            <wp:effectExtent l="0" t="0" r="1905" b="1016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7"/>
                    <a:stretch>
                      <a:fillRect/>
                    </a:stretch>
                  </pic:blipFill>
                  <pic:spPr>
                    <a:xfrm>
                      <a:off x="0" y="0"/>
                      <a:ext cx="2830195" cy="2123440"/>
                    </a:xfrm>
                    <a:prstGeom prst="rect">
                      <a:avLst/>
                    </a:prstGeom>
                  </pic:spPr>
                </pic:pic>
              </a:graphicData>
            </a:graphic>
          </wp:inline>
        </w:drawing>
      </w:r>
    </w:p>
    <w:p w14:paraId="36436D5B">
      <w:pPr>
        <w:keepNext w:val="0"/>
        <w:keepLines w:val="0"/>
        <w:pageBreakBefore w:val="0"/>
        <w:widowControl w:val="0"/>
        <w:kinsoku/>
        <w:wordWrap/>
        <w:overflowPunct/>
        <w:topLinePunct w:val="0"/>
        <w:autoSpaceDE/>
        <w:autoSpaceDN/>
        <w:bidi w:val="0"/>
        <w:adjustRightInd/>
        <w:snapToGrid/>
        <w:spacing w:line="240" w:lineRule="auto"/>
        <w:ind w:firstLine="1687" w:firstLineChars="700"/>
        <w:jc w:val="center"/>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图4：超声科虚拟教学平台</w:t>
      </w:r>
    </w:p>
    <w:p w14:paraId="6525662E">
      <w:pPr>
        <w:keepNext w:val="0"/>
        <w:keepLines w:val="0"/>
        <w:pageBreakBefore w:val="0"/>
        <w:widowControl w:val="0"/>
        <w:kinsoku/>
        <w:wordWrap/>
        <w:overflowPunct/>
        <w:topLinePunct w:val="0"/>
        <w:autoSpaceDE/>
        <w:autoSpaceDN/>
        <w:bidi w:val="0"/>
        <w:adjustRightInd/>
        <w:snapToGrid/>
        <w:spacing w:line="240" w:lineRule="auto"/>
        <w:ind w:firstLine="1470" w:firstLineChars="700"/>
        <w:jc w:val="center"/>
        <w:textAlignment w:val="auto"/>
      </w:pPr>
      <w:r>
        <w:drawing>
          <wp:inline distT="0" distB="0" distL="114300" distR="114300">
            <wp:extent cx="2484120" cy="1821815"/>
            <wp:effectExtent l="0" t="0" r="5080" b="698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8"/>
                    <a:srcRect r="49850"/>
                    <a:stretch>
                      <a:fillRect/>
                    </a:stretch>
                  </pic:blipFill>
                  <pic:spPr>
                    <a:xfrm>
                      <a:off x="0" y="0"/>
                      <a:ext cx="2484120" cy="1821815"/>
                    </a:xfrm>
                    <a:prstGeom prst="rect">
                      <a:avLst/>
                    </a:prstGeom>
                  </pic:spPr>
                </pic:pic>
              </a:graphicData>
            </a:graphic>
          </wp:inline>
        </w:drawing>
      </w:r>
    </w:p>
    <w:p w14:paraId="03B4E3CE">
      <w:pPr>
        <w:keepNext w:val="0"/>
        <w:keepLines w:val="0"/>
        <w:pageBreakBefore w:val="0"/>
        <w:widowControl w:val="0"/>
        <w:kinsoku/>
        <w:wordWrap/>
        <w:overflowPunct/>
        <w:topLinePunct w:val="0"/>
        <w:autoSpaceDE/>
        <w:autoSpaceDN/>
        <w:bidi w:val="0"/>
        <w:adjustRightInd/>
        <w:snapToGrid/>
        <w:spacing w:line="240" w:lineRule="auto"/>
        <w:ind w:firstLine="1687" w:firstLineChars="700"/>
        <w:jc w:val="center"/>
        <w:textAlignment w:val="auto"/>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图5：核医学科带教团队</w:t>
      </w:r>
    </w:p>
    <w:p w14:paraId="52BB9DA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eastAsiaTheme="minorEastAsia" w:cstheme="minorEastAsia"/>
          <w:b/>
          <w:bCs/>
          <w:kern w:val="2"/>
          <w:sz w:val="28"/>
          <w:szCs w:val="28"/>
          <w:lang w:val="en-US" w:eastAsia="zh-CN" w:bidi="ar-SA"/>
        </w:rPr>
        <w:t>3.</w:t>
      </w:r>
      <w:r>
        <w:rPr>
          <w:rFonts w:hint="eastAsia" w:asciiTheme="minorEastAsia" w:hAnsiTheme="minorEastAsia" w:cstheme="minorEastAsia"/>
          <w:b/>
          <w:bCs/>
          <w:sz w:val="28"/>
          <w:szCs w:val="28"/>
          <w:lang w:val="en-US" w:eastAsia="zh-CN"/>
        </w:rPr>
        <w:t>技能竞赛</w:t>
      </w:r>
    </w:p>
    <w:p w14:paraId="013AB6D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举办医学影像学技能竞赛，如读片比赛、设备操作技能竞赛等，激发学生的学习兴趣与竞争意识，提高学生的实践操作技能与解决实际问题的能力。</w:t>
      </w:r>
    </w:p>
    <w:p w14:paraId="0124F753">
      <w:pPr>
        <w:keepNext w:val="0"/>
        <w:keepLines w:val="0"/>
        <w:pageBreakBefore w:val="0"/>
        <w:kinsoku/>
        <w:wordWrap/>
        <w:overflowPunct/>
        <w:topLinePunct w:val="0"/>
        <w:autoSpaceDE/>
        <w:autoSpaceDN/>
        <w:bidi w:val="0"/>
        <w:adjustRightInd/>
        <w:spacing w:line="480" w:lineRule="exact"/>
        <w:jc w:val="both"/>
        <w:textAlignment w:val="auto"/>
        <w:rPr>
          <w:rFonts w:hint="eastAsia" w:asciiTheme="minorEastAsia" w:hAnsiTheme="minorEastAsia" w:cstheme="minorEastAsia"/>
          <w:b/>
          <w:bCs/>
          <w:sz w:val="28"/>
          <w:szCs w:val="28"/>
          <w:lang w:eastAsia="zh-CN"/>
        </w:rPr>
      </w:pPr>
      <w:r>
        <w:rPr>
          <w:rFonts w:hint="eastAsia" w:asciiTheme="minorEastAsia" w:hAnsiTheme="minorEastAsia" w:cstheme="minorEastAsia"/>
          <w:b/>
          <w:bCs/>
          <w:sz w:val="28"/>
          <w:szCs w:val="28"/>
          <w:lang w:val="en-US" w:eastAsia="zh-CN"/>
        </w:rPr>
        <w:t>三、</w:t>
      </w:r>
      <w:r>
        <w:rPr>
          <w:rFonts w:hint="eastAsia" w:asciiTheme="minorEastAsia" w:hAnsiTheme="minorEastAsia" w:cstheme="minorEastAsia"/>
          <w:b/>
          <w:bCs/>
          <w:sz w:val="28"/>
          <w:szCs w:val="28"/>
          <w:lang w:eastAsia="zh-CN"/>
        </w:rPr>
        <w:t>未来在哪里</w:t>
      </w:r>
    </w:p>
    <w:p w14:paraId="28BC40C3">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1.就业去向：</w:t>
      </w:r>
    </w:p>
    <w:p w14:paraId="714CC086">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（1）参加工作</w:t>
      </w:r>
    </w:p>
    <w:p w14:paraId="112338EB">
      <w:pPr>
        <w:keepNext w:val="0"/>
        <w:keepLines w:val="0"/>
        <w:pageBreakBefore w:val="0"/>
        <w:widowControl w:val="0"/>
        <w:kinsoku/>
        <w:wordWrap/>
        <w:overflowPunct/>
        <w:topLinePunct w:val="0"/>
        <w:autoSpaceDE/>
        <w:autoSpaceDN/>
        <w:bidi w:val="0"/>
        <w:adjustRightInd/>
        <w:snapToGrid/>
        <w:spacing w:line="500" w:lineRule="exact"/>
        <w:ind w:firstLine="420" w:firstLineChars="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各级医疗机构：毕业生可在综合医院、专科医院的影像科、放疗科、核医学科等部门，从事医学影像诊断、影像技术操作、放疗计划制定等工作。随着医疗技术的不断发展，对医学影像学专业人才的需求持续增长，尤其是具备扎实专业技能与创新能力的高素质人才。</w:t>
      </w:r>
    </w:p>
    <w:p w14:paraId="1E6749C2">
      <w:pPr>
        <w:keepNext w:val="0"/>
        <w:keepLines w:val="0"/>
        <w:pageBreakBefore w:val="0"/>
        <w:widowControl w:val="0"/>
        <w:kinsoku/>
        <w:wordWrap/>
        <w:overflowPunct/>
        <w:topLinePunct w:val="0"/>
        <w:autoSpaceDE/>
        <w:autoSpaceDN/>
        <w:bidi w:val="0"/>
        <w:adjustRightInd/>
        <w:snapToGrid/>
        <w:spacing w:line="500" w:lineRule="exact"/>
        <w:ind w:firstLine="420" w:firstLineChars="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医学影像设备企业：部分毕业生选择进入医学影像设备生产、销售与售后服务企业，从事设备研发、产品推广、技术支持、设备维修等工作。随着科技的飞速发展，医学影像设备不断更新换代，企业对既懂医学又懂技术的复合型人才求贤若渴。</w:t>
      </w:r>
    </w:p>
    <w:p w14:paraId="3A272932">
      <w:pPr>
        <w:keepNext w:val="0"/>
        <w:keepLines w:val="0"/>
        <w:pageBreakBefore w:val="0"/>
        <w:widowControl w:val="0"/>
        <w:kinsoku/>
        <w:wordWrap/>
        <w:overflowPunct/>
        <w:topLinePunct w:val="0"/>
        <w:autoSpaceDE/>
        <w:autoSpaceDN/>
        <w:bidi w:val="0"/>
        <w:adjustRightInd/>
        <w:snapToGrid/>
        <w:spacing w:line="500" w:lineRule="exact"/>
        <w:ind w:firstLine="420" w:firstLineChars="0"/>
        <w:jc w:val="left"/>
        <w:textAlignment w:val="auto"/>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医学研究机构：对于有志于科研工作的学生，可在医学研究机构从事医学影像学相关的基础研究与应用研究工作，探索影像技术的新方法、新应用，推动医学影像学领域的技术创新与发展。</w:t>
      </w:r>
    </w:p>
    <w:p w14:paraId="4E0C9692">
      <w:pPr>
        <w:keepNext w:val="0"/>
        <w:keepLines w:val="0"/>
        <w:pageBreakBefore w:val="0"/>
        <w:widowControl w:val="0"/>
        <w:kinsoku/>
        <w:wordWrap/>
        <w:overflowPunct/>
        <w:topLinePunct w:val="0"/>
        <w:autoSpaceDE/>
        <w:autoSpaceDN/>
        <w:bidi w:val="0"/>
        <w:adjustRightInd/>
        <w:snapToGrid/>
        <w:spacing w:line="500" w:lineRule="exact"/>
        <w:ind w:firstLine="420" w:firstLineChars="0"/>
        <w:jc w:val="left"/>
        <w:textAlignment w:val="auto"/>
        <w:rPr>
          <w:rFonts w:hint="default"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 xml:space="preserve">其他领域：还可在医疗器械监管部门、医疗保险机构等单位，从事医疗器械管理、医疗费用审核等相关工作。  </w:t>
      </w:r>
    </w:p>
    <w:p w14:paraId="102725C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0BA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shd w:val="clear" w:color="auto" w:fill="auto"/>
          </w:tcPr>
          <w:p w14:paraId="708D68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b/>
                <w:bCs/>
                <w:sz w:val="28"/>
                <w:szCs w:val="28"/>
                <w:vertAlign w:val="baseline"/>
                <w:lang w:val="en-US" w:eastAsia="zh-CN"/>
              </w:rPr>
            </w:pPr>
            <w:r>
              <w:rPr>
                <w:rFonts w:hint="eastAsia" w:asciiTheme="minorEastAsia" w:hAnsiTheme="minorEastAsia" w:cstheme="minorEastAsia"/>
                <w:b/>
                <w:bCs/>
                <w:sz w:val="28"/>
                <w:szCs w:val="28"/>
                <w:vertAlign w:val="baseline"/>
                <w:lang w:val="en-US" w:eastAsia="zh-CN"/>
              </w:rPr>
              <w:drawing>
                <wp:inline distT="0" distB="0" distL="114300" distR="114300">
                  <wp:extent cx="3746500" cy="2886075"/>
                  <wp:effectExtent l="0" t="0" r="0" b="952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9"/>
                          <a:stretch>
                            <a:fillRect/>
                          </a:stretch>
                        </pic:blipFill>
                        <pic:spPr>
                          <a:xfrm>
                            <a:off x="0" y="0"/>
                            <a:ext cx="3746500" cy="2886075"/>
                          </a:xfrm>
                          <a:prstGeom prst="rect">
                            <a:avLst/>
                          </a:prstGeom>
                        </pic:spPr>
                      </pic:pic>
                    </a:graphicData>
                  </a:graphic>
                </wp:inline>
              </w:drawing>
            </w:r>
          </w:p>
        </w:tc>
      </w:tr>
    </w:tbl>
    <w:p w14:paraId="28E2B463">
      <w:pPr>
        <w:keepNext w:val="0"/>
        <w:keepLines w:val="0"/>
        <w:pageBreakBefore w:val="0"/>
        <w:widowControl w:val="0"/>
        <w:kinsoku/>
        <w:wordWrap/>
        <w:overflowPunct/>
        <w:topLinePunct w:val="0"/>
        <w:autoSpaceDE/>
        <w:autoSpaceDN/>
        <w:bidi w:val="0"/>
        <w:adjustRightInd/>
        <w:snapToGrid/>
        <w:spacing w:line="240" w:lineRule="auto"/>
        <w:ind w:firstLine="1687" w:firstLineChars="700"/>
        <w:jc w:val="left"/>
        <w:textAlignment w:val="auto"/>
        <w:rPr>
          <w:rFonts w:hint="eastAsia" w:asciiTheme="minorEastAsia" w:hAnsiTheme="minorEastAsia" w:cstheme="minorEastAsia"/>
          <w:b/>
          <w:bCs/>
          <w:sz w:val="24"/>
          <w:szCs w:val="24"/>
          <w:lang w:val="en-US" w:eastAsia="zh-CN"/>
        </w:rPr>
      </w:pPr>
    </w:p>
    <w:p w14:paraId="40F3B46C">
      <w:pPr>
        <w:keepNext w:val="0"/>
        <w:keepLines w:val="0"/>
        <w:pageBreakBefore w:val="0"/>
        <w:widowControl w:val="0"/>
        <w:kinsoku/>
        <w:wordWrap/>
        <w:overflowPunct/>
        <w:topLinePunct w:val="0"/>
        <w:autoSpaceDE/>
        <w:autoSpaceDN/>
        <w:bidi w:val="0"/>
        <w:adjustRightInd/>
        <w:snapToGrid/>
        <w:spacing w:line="240" w:lineRule="auto"/>
        <w:ind w:firstLine="2168" w:firstLineChars="900"/>
        <w:jc w:val="left"/>
        <w:textAlignment w:val="auto"/>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图6：医学影像学在医院内的组织结构</w:t>
      </w:r>
    </w:p>
    <w:p w14:paraId="5151039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b/>
          <w:bCs/>
          <w:sz w:val="28"/>
          <w:szCs w:val="28"/>
          <w:lang w:val="en-US" w:eastAsia="zh-CN"/>
        </w:rPr>
      </w:pPr>
    </w:p>
    <w:p w14:paraId="6C173E8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（2）继续深造：</w:t>
      </w:r>
      <w:r>
        <w:rPr>
          <w:rFonts w:hint="eastAsia" w:asciiTheme="minorEastAsia" w:hAnsiTheme="minorEastAsia" w:cstheme="minorEastAsia"/>
          <w:sz w:val="28"/>
          <w:szCs w:val="28"/>
          <w:lang w:val="en-US" w:eastAsia="zh-CN"/>
        </w:rPr>
        <w:t>攻读硕士、博士学位，进一步提升学术水平，从事更深入的科研或教学工作。</w:t>
      </w:r>
    </w:p>
    <w:p w14:paraId="72EDD6A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Theme="minorEastAsia" w:hAnsiTheme="minorEastAsia" w:cstheme="minorEastAsia"/>
          <w:sz w:val="28"/>
          <w:szCs w:val="28"/>
          <w:lang w:val="en-US" w:eastAsia="zh-CN"/>
        </w:rPr>
      </w:pPr>
      <w:r>
        <w:rPr>
          <w:rFonts w:hint="eastAsia" w:asciiTheme="minorEastAsia" w:hAnsiTheme="minorEastAsia" w:cstheme="minorEastAsia"/>
          <w:b/>
          <w:bCs/>
          <w:sz w:val="28"/>
          <w:szCs w:val="28"/>
          <w:lang w:val="en-US" w:eastAsia="zh-CN"/>
        </w:rPr>
        <w:t>（3）出国留学：</w:t>
      </w:r>
      <w:r>
        <w:rPr>
          <w:rFonts w:hint="eastAsia" w:asciiTheme="minorEastAsia" w:hAnsiTheme="minorEastAsia" w:cstheme="minorEastAsia"/>
          <w:sz w:val="28"/>
          <w:szCs w:val="28"/>
          <w:lang w:val="en-US" w:eastAsia="zh-CN"/>
        </w:rPr>
        <w:t>到国外知名医学院校深造，学习先进的技术与理念。</w:t>
      </w:r>
    </w:p>
    <w:p w14:paraId="3E7487CE">
      <w:pPr>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2.就业单位</w:t>
      </w:r>
    </w:p>
    <w:p w14:paraId="153BD2E9">
      <w:pPr>
        <w:ind w:firstLine="420" w:firstLineChars="0"/>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医院：省市级综合性医院，如南昌大学第一附属医院、江西省人民医院、中南大学湘雅医院等；专科医院，如中国医学科学院肿瘤医院、上海交通大学医学院附属新华医院等。</w:t>
      </w:r>
    </w:p>
    <w:p w14:paraId="6C14571A">
      <w:pPr>
        <w:ind w:firstLine="420" w:firstLineChars="0"/>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医学影像设备企业：GE医疗集团、西门子医疗、飞利浦医疗等国际知名企业，以及联影医疗、迈瑞医疗等国内领先的医疗器械企业。</w:t>
      </w:r>
    </w:p>
    <w:p w14:paraId="755FEC0D">
      <w:pPr>
        <w:ind w:firstLine="420" w:firstLineChars="0"/>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医学研究机构：中国医学科学院、中国疾病预防控制中心等。</w:t>
      </w:r>
    </w:p>
    <w:p w14:paraId="1F4D4660">
      <w:pPr>
        <w:ind w:firstLine="420" w:firstLineChars="0"/>
        <w:rPr>
          <w:rFonts w:hint="eastAsia" w:asciiTheme="minorEastAsia" w:hAnsiTheme="minorEastAsia" w:cstheme="minorEastAsia"/>
          <w:b w:val="0"/>
          <w:bCs w:val="0"/>
          <w:sz w:val="28"/>
          <w:szCs w:val="28"/>
          <w:lang w:val="en-US" w:eastAsia="zh-CN"/>
        </w:rPr>
      </w:pPr>
      <w:r>
        <w:rPr>
          <w:rFonts w:hint="eastAsia" w:asciiTheme="minorEastAsia" w:hAnsiTheme="minorEastAsia" w:cstheme="minorEastAsia"/>
          <w:b w:val="0"/>
          <w:bCs w:val="0"/>
          <w:sz w:val="28"/>
          <w:szCs w:val="28"/>
          <w:lang w:val="en-US" w:eastAsia="zh-CN"/>
        </w:rPr>
        <w:t>其他单位：国家药品监督管理局医疗器械技术审评中心、各地医疗保险经办机构等。</w:t>
      </w:r>
    </w:p>
    <w:p w14:paraId="4FCF4588">
      <w:pPr>
        <w:numPr>
          <w:ilvl w:val="0"/>
          <w:numId w:val="0"/>
        </w:numPr>
        <w:ind w:left="0" w:leftChars="0" w:firstLine="0" w:firstLineChars="0"/>
        <w:rPr>
          <w:rFonts w:hint="eastAsia" w:asciiTheme="minorEastAsia" w:hAnsiTheme="minorEastAsia" w:cstheme="minorEastAsia"/>
          <w:b/>
          <w:bCs/>
          <w:sz w:val="28"/>
          <w:szCs w:val="28"/>
          <w:lang w:val="en-US" w:eastAsia="zh-CN"/>
        </w:rPr>
      </w:pPr>
      <w:r>
        <w:rPr>
          <w:rFonts w:hint="eastAsia" w:asciiTheme="minorEastAsia" w:hAnsiTheme="minorEastAsia" w:cstheme="minorEastAsia"/>
          <w:b/>
          <w:bCs/>
          <w:sz w:val="28"/>
          <w:szCs w:val="28"/>
          <w:lang w:val="en-US" w:eastAsia="zh-CN"/>
        </w:rPr>
        <w:t>3.升学去向</w:t>
      </w:r>
    </w:p>
    <w:p w14:paraId="0E22686F">
      <w:pPr>
        <w:numPr>
          <w:ilvl w:val="0"/>
          <w:numId w:val="0"/>
        </w:numPr>
        <w:ind w:leftChars="0" w:firstLine="420" w:firstLineChars="0"/>
        <w:rPr>
          <w:rFonts w:hint="default" w:asciiTheme="minorEastAsia" w:hAnsiTheme="minorEastAsia" w:cstheme="minorEastAsia"/>
          <w:b w:val="0"/>
          <w:bCs w:val="0"/>
          <w:sz w:val="28"/>
          <w:szCs w:val="28"/>
          <w:lang w:val="en-US" w:eastAsia="zh-CN"/>
        </w:rPr>
      </w:pPr>
      <w:r>
        <w:rPr>
          <w:rFonts w:hint="default" w:asciiTheme="minorEastAsia" w:hAnsiTheme="minorEastAsia" w:cstheme="minorEastAsia"/>
          <w:b w:val="0"/>
          <w:bCs w:val="0"/>
          <w:sz w:val="28"/>
          <w:szCs w:val="28"/>
          <w:lang w:val="en-US" w:eastAsia="zh-CN"/>
        </w:rPr>
        <w:t>历年来，</w:t>
      </w:r>
      <w:r>
        <w:rPr>
          <w:rFonts w:hint="eastAsia" w:asciiTheme="minorEastAsia" w:hAnsiTheme="minorEastAsia" w:cstheme="minorEastAsia"/>
          <w:b w:val="0"/>
          <w:bCs w:val="0"/>
          <w:sz w:val="28"/>
          <w:szCs w:val="28"/>
          <w:lang w:val="en-US" w:eastAsia="zh-CN"/>
        </w:rPr>
        <w:t>医学影像学应届毕业生</w:t>
      </w:r>
      <w:r>
        <w:rPr>
          <w:rFonts w:hint="default" w:asciiTheme="minorEastAsia" w:hAnsiTheme="minorEastAsia" w:cstheme="minorEastAsia"/>
          <w:b w:val="0"/>
          <w:bCs w:val="0"/>
          <w:sz w:val="28"/>
          <w:szCs w:val="28"/>
          <w:lang w:val="en-US" w:eastAsia="zh-CN"/>
        </w:rPr>
        <w:t>升学率</w:t>
      </w:r>
      <w:r>
        <w:rPr>
          <w:rFonts w:hint="eastAsia" w:asciiTheme="minorEastAsia" w:hAnsiTheme="minorEastAsia" w:cstheme="minorEastAsia"/>
          <w:b w:val="0"/>
          <w:bCs w:val="0"/>
          <w:sz w:val="28"/>
          <w:szCs w:val="28"/>
          <w:lang w:val="en-US" w:eastAsia="zh-CN"/>
        </w:rPr>
        <w:t>达</w:t>
      </w:r>
      <w:r>
        <w:rPr>
          <w:rFonts w:hint="default" w:asciiTheme="minorEastAsia" w:hAnsiTheme="minorEastAsia" w:cstheme="minorEastAsia"/>
          <w:b w:val="0"/>
          <w:bCs w:val="0"/>
          <w:sz w:val="28"/>
          <w:szCs w:val="28"/>
          <w:lang w:val="en-US" w:eastAsia="zh-CN"/>
        </w:rPr>
        <w:t>50%以上，</w:t>
      </w:r>
      <w:r>
        <w:rPr>
          <w:rFonts w:hint="eastAsia" w:asciiTheme="minorEastAsia" w:hAnsiTheme="minorEastAsia" w:cstheme="minorEastAsia"/>
          <w:b w:val="0"/>
          <w:bCs w:val="0"/>
          <w:sz w:val="28"/>
          <w:szCs w:val="28"/>
          <w:lang w:val="en-US" w:eastAsia="zh-CN"/>
        </w:rPr>
        <w:t>包括复旦</w:t>
      </w:r>
      <w:r>
        <w:rPr>
          <w:rFonts w:hint="default" w:asciiTheme="minorEastAsia" w:hAnsiTheme="minorEastAsia" w:cstheme="minorEastAsia"/>
          <w:b w:val="0"/>
          <w:bCs w:val="0"/>
          <w:sz w:val="28"/>
          <w:szCs w:val="28"/>
          <w:lang w:val="en-US" w:eastAsia="zh-CN"/>
        </w:rPr>
        <w:t>大学、</w:t>
      </w:r>
      <w:r>
        <w:rPr>
          <w:rFonts w:hint="eastAsia" w:asciiTheme="minorEastAsia" w:hAnsiTheme="minorEastAsia" w:cstheme="minorEastAsia"/>
          <w:b w:val="0"/>
          <w:bCs w:val="0"/>
          <w:sz w:val="28"/>
          <w:szCs w:val="28"/>
          <w:lang w:val="en-US" w:eastAsia="zh-CN"/>
        </w:rPr>
        <w:t>首都医科大学、四川大学、中山大学、南昌大学</w:t>
      </w:r>
      <w:r>
        <w:rPr>
          <w:rFonts w:hint="default" w:asciiTheme="minorEastAsia" w:hAnsiTheme="minorEastAsia" w:cstheme="minorEastAsia"/>
          <w:b w:val="0"/>
          <w:bCs w:val="0"/>
          <w:sz w:val="28"/>
          <w:szCs w:val="28"/>
          <w:lang w:val="en-US" w:eastAsia="zh-CN"/>
        </w:rPr>
        <w:t>等双一流高校</w:t>
      </w:r>
      <w:r>
        <w:rPr>
          <w:rFonts w:hint="eastAsia" w:asciiTheme="minorEastAsia" w:hAnsiTheme="minorEastAsia" w:cstheme="minorEastAsia"/>
          <w:b w:val="0"/>
          <w:bCs w:val="0"/>
          <w:sz w:val="28"/>
          <w:szCs w:val="28"/>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ingFang 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A0666B"/>
    <w:rsid w:val="1329274F"/>
    <w:rsid w:val="4609638B"/>
    <w:rsid w:val="52260855"/>
    <w:rsid w:val="65A066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2098</Words>
  <Characters>2132</Characters>
  <Lines>0</Lines>
  <Paragraphs>0</Paragraphs>
  <TotalTime>1</TotalTime>
  <ScaleCrop>false</ScaleCrop>
  <LinksUpToDate>false</LinksUpToDate>
  <CharactersWithSpaces>2135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2025-03-22T01:48:00Z</dcterms:created>
  <dc:creator>蘑菇きのこ</dc:creator>
  <cp:lastModifiedBy>蘑菇きのこ</cp:lastModifiedBy>
  <dcterms:modified xsi:type="dcterms:W3CDTF">2025-03-24T05:39:04Z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BBD1391394204A39A4067C3B02CE9FF9_11</vt:lpwstr>
  </property>
  <property fmtid="{D5CDD505-2E9C-101B-9397-08002B2CF9AE}" pid="4" name="KSOTemplateDocerSaveRecord">
    <vt:lpwstr>eyJoZGlkIjoiYTVhNTc0NmE2ZmY1NTY5M2MwN2MzYzhjOTM0ODE2NTkiLCJ1c2VySWQiOiIyNzg4ODYzNDUifQ==</vt:lpwstr>
  </property>
</Properties>
</file>