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Theme="minorEastAsia" w:hAnsiTheme="minorEastAsia" w:cstheme="minorEastAsia"/>
          <w:b/>
          <w:sz w:val="36"/>
          <w:szCs w:val="36"/>
        </w:rPr>
      </w:pPr>
      <w:r>
        <w:rPr>
          <w:rFonts w:hint="eastAsia" w:asciiTheme="minorEastAsia" w:hAnsiTheme="minorEastAsia" w:cstheme="minorEastAsia"/>
          <w:b/>
          <w:sz w:val="36"/>
          <w:szCs w:val="36"/>
        </w:rPr>
        <w:t>2025年南昌大学第一临床医学院</w:t>
      </w:r>
    </w:p>
    <w:p>
      <w:pPr>
        <w:spacing w:line="480" w:lineRule="exact"/>
        <w:jc w:val="center"/>
        <w:rPr>
          <w:rFonts w:hint="eastAsia" w:asciiTheme="minorEastAsia" w:hAnsiTheme="minorEastAsia" w:cstheme="minorEastAsia"/>
          <w:b/>
          <w:sz w:val="36"/>
          <w:szCs w:val="36"/>
        </w:rPr>
      </w:pPr>
      <w:r>
        <w:rPr>
          <w:rFonts w:hint="eastAsia" w:asciiTheme="minorEastAsia" w:hAnsiTheme="minorEastAsia" w:cstheme="minorEastAsia"/>
          <w:b/>
          <w:sz w:val="36"/>
          <w:szCs w:val="36"/>
        </w:rPr>
        <w:t>老年医学与健康本科招生专业介绍</w:t>
      </w:r>
    </w:p>
    <w:p>
      <w:pPr>
        <w:spacing w:line="480" w:lineRule="exact"/>
        <w:rPr>
          <w:rFonts w:hint="eastAsia" w:asciiTheme="minorEastAsia" w:hAnsiTheme="minorEastAsia" w:cstheme="minorEastAsia"/>
          <w:b/>
          <w:sz w:val="36"/>
          <w:szCs w:val="36"/>
        </w:rPr>
      </w:pP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b/>
          <w:bCs/>
          <w:sz w:val="28"/>
          <w:szCs w:val="28"/>
        </w:rPr>
        <w:t>专业标签：</w:t>
      </w:r>
      <w:r>
        <w:rPr>
          <w:rFonts w:hint="eastAsia" w:asciiTheme="minorEastAsia" w:hAnsiTheme="minorEastAsia" w:cstheme="minorEastAsia"/>
          <w:sz w:val="28"/>
          <w:szCs w:val="28"/>
        </w:rPr>
        <w:t>教育部“四新”专业建设点丨省级一流本科专业建设点丨省级老年健康管理人才培养示范基地丨省级产学研合作创新平台</w:t>
      </w:r>
    </w:p>
    <w:p>
      <w:pPr>
        <w:spacing w:line="480" w:lineRule="exact"/>
        <w:rPr>
          <w:rFonts w:hint="eastAsia" w:asciiTheme="minorEastAsia" w:hAnsiTheme="minorEastAsia" w:cstheme="minorEastAsia"/>
          <w:b/>
          <w:bCs/>
          <w:sz w:val="28"/>
          <w:szCs w:val="28"/>
        </w:rPr>
      </w:pPr>
      <w:r>
        <w:rPr>
          <w:rFonts w:asciiTheme="minorEastAsia" w:hAnsiTheme="minorEastAsia" w:cstheme="minorEastAsia"/>
          <w:b/>
          <w:bCs/>
          <w:sz w:val="28"/>
          <w:szCs w:val="28"/>
        </w:rPr>
        <w:t>一、</w:t>
      </w:r>
      <w:r>
        <w:rPr>
          <w:rFonts w:hint="eastAsia" w:asciiTheme="minorEastAsia" w:hAnsiTheme="minorEastAsia" w:cstheme="minorEastAsia"/>
          <w:b/>
          <w:bCs/>
          <w:sz w:val="28"/>
          <w:szCs w:val="28"/>
        </w:rPr>
        <w:t>我们是什么</w:t>
      </w:r>
    </w:p>
    <w:p>
      <w:pPr>
        <w:spacing w:line="500" w:lineRule="exact"/>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目前，人口老龄化成为全球性难题，中国老龄化速度快、规模大。在此背景下，教育部倡导设置对接国家需求的专业，此专业可培养专业人才，还能推动老年健康产业发展，为经济注入新动力。老年医学与健康专业可为养老服务产业提供人才支持，带动相关产业链发展，促进地方经济转型。</w:t>
      </w:r>
    </w:p>
    <w:p>
      <w:pPr>
        <w:spacing w:line="500" w:lineRule="exact"/>
        <w:ind w:firstLine="560" w:firstLineChars="200"/>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老年医学与健康专业依托于南昌大学第一临床医学院，医院老年医学科目前为国家老年疾病临床医学研究中心（四川大学华西医院）江西分中心单位，中国老年医学中心联盟成员单位，中国医师协会老年医学科医师分会委员单位，江西省医学会老年医学分会副主任委员单位，国家老年疾病临床医学研究中心协同网络研究核心成员单位，国家精神心理疾病临床医学研究中心临床研究大数据与生物样本库平台建设网络成员单位。</w:t>
      </w:r>
    </w:p>
    <w:p>
      <w:pPr>
        <w:spacing w:line="500" w:lineRule="exact"/>
        <w:ind w:firstLine="560" w:firstLineChars="200"/>
        <w:jc w:val="left"/>
        <w:rPr>
          <w:rFonts w:hint="eastAsia" w:asciiTheme="minorEastAsia" w:hAnsiTheme="minorEastAsia" w:cstheme="minorEastAsia"/>
          <w:sz w:val="28"/>
          <w:szCs w:val="28"/>
        </w:rPr>
      </w:pPr>
      <w:r>
        <w:rPr>
          <w:rFonts w:hint="eastAsia" w:asciiTheme="minorEastAsia" w:hAnsiTheme="minorEastAsia" w:cstheme="minorEastAsia"/>
          <w:sz w:val="28"/>
          <w:szCs w:val="28"/>
        </w:rPr>
        <w:drawing>
          <wp:anchor distT="0" distB="0" distL="114300" distR="114300" simplePos="0" relativeHeight="251660288" behindDoc="0" locked="0" layoutInCell="1" allowOverlap="1">
            <wp:simplePos x="0" y="0"/>
            <wp:positionH relativeFrom="column">
              <wp:posOffset>2349500</wp:posOffset>
            </wp:positionH>
            <wp:positionV relativeFrom="paragraph">
              <wp:posOffset>1384300</wp:posOffset>
            </wp:positionV>
            <wp:extent cx="2022475" cy="1377950"/>
            <wp:effectExtent l="0" t="0" r="0" b="0"/>
            <wp:wrapSquare wrapText="bothSides"/>
            <wp:docPr id="11420163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16351"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022475" cy="1377950"/>
                    </a:xfrm>
                    <a:prstGeom prst="rect">
                      <a:avLst/>
                    </a:prstGeom>
                    <a:noFill/>
                  </pic:spPr>
                </pic:pic>
              </a:graphicData>
            </a:graphic>
          </wp:anchor>
        </w:drawing>
      </w:r>
      <w:r>
        <w:rPr>
          <w:rFonts w:hint="eastAsia" w:asciiTheme="minorEastAsia" w:hAnsiTheme="minorEastAsia" w:cstheme="minorEastAsia"/>
          <w:sz w:val="28"/>
          <w:szCs w:val="28"/>
        </w:rPr>
        <w:drawing>
          <wp:anchor distT="0" distB="0" distL="114300" distR="114300" simplePos="0" relativeHeight="251659264" behindDoc="0" locked="0" layoutInCell="1" allowOverlap="1">
            <wp:simplePos x="0" y="0"/>
            <wp:positionH relativeFrom="column">
              <wp:posOffset>-6350</wp:posOffset>
            </wp:positionH>
            <wp:positionV relativeFrom="paragraph">
              <wp:posOffset>1384300</wp:posOffset>
            </wp:positionV>
            <wp:extent cx="2146300" cy="1333500"/>
            <wp:effectExtent l="0" t="0" r="6350" b="0"/>
            <wp:wrapSquare wrapText="bothSides"/>
            <wp:docPr id="12920603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60336"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146300" cy="1333500"/>
                    </a:xfrm>
                    <a:prstGeom prst="rect">
                      <a:avLst/>
                    </a:prstGeom>
                    <a:noFill/>
                  </pic:spPr>
                </pic:pic>
              </a:graphicData>
            </a:graphic>
          </wp:anchor>
        </w:drawing>
      </w:r>
      <w:r>
        <w:rPr>
          <w:rFonts w:hint="eastAsia" w:asciiTheme="minorEastAsia" w:hAnsiTheme="minorEastAsia" w:cstheme="minorEastAsia"/>
          <w:sz w:val="28"/>
          <w:szCs w:val="28"/>
        </w:rPr>
        <w:t>专业聚焦老年群体的健康需求，构建了 “以老年健康管理为核心，融合医疗服务、健康促进、养老机构运营管理” 的专业特色体系。与多家大型养老机构、老年康复中心建立了深度合作关系，为学生提供丰富的实践场所，确保学生在学习过程中积累充足的实践经验。</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nil"/>
              <w:left w:val="nil"/>
              <w:bottom w:val="nil"/>
              <w:right w:val="nil"/>
            </w:tcBorders>
          </w:tcPr>
          <w:p>
            <w:pPr>
              <w:jc w:val="left"/>
              <w:rPr>
                <w:rFonts w:hint="eastAsia" w:asciiTheme="minorEastAsia" w:hAnsiTheme="minorEastAsia" w:cstheme="minorEastAsia"/>
                <w:sz w:val="28"/>
                <w:szCs w:val="28"/>
              </w:rPr>
            </w:pPr>
          </w:p>
        </w:tc>
      </w:tr>
    </w:tbl>
    <w:p>
      <w:pPr>
        <w:spacing w:line="500" w:lineRule="exact"/>
        <w:jc w:val="left"/>
        <w:rPr>
          <w:rFonts w:asciiTheme="minorEastAsia" w:hAnsiTheme="minorEastAsia" w:cstheme="minorEastAsia"/>
          <w:sz w:val="28"/>
          <w:szCs w:val="28"/>
        </w:rPr>
      </w:pPr>
    </w:p>
    <w:p>
      <w:pPr>
        <w:spacing w:line="500" w:lineRule="exact"/>
        <w:jc w:val="left"/>
        <w:rPr>
          <w:rFonts w:asciiTheme="minorEastAsia" w:hAnsiTheme="minorEastAsia" w:cstheme="minorEastAsia"/>
          <w:sz w:val="28"/>
          <w:szCs w:val="28"/>
        </w:rPr>
      </w:pPr>
    </w:p>
    <w:p>
      <w:pPr>
        <w:spacing w:line="500" w:lineRule="exact"/>
        <w:jc w:val="left"/>
        <w:rPr>
          <w:rFonts w:asciiTheme="minorEastAsia" w:hAnsiTheme="minorEastAsia" w:cstheme="minorEastAsia"/>
          <w:sz w:val="28"/>
          <w:szCs w:val="28"/>
        </w:rPr>
      </w:pPr>
    </w:p>
    <w:p>
      <w:pPr>
        <w:spacing w:line="500" w:lineRule="exact"/>
        <w:jc w:val="left"/>
        <w:rPr>
          <w:rFonts w:asciiTheme="minorEastAsia" w:hAnsiTheme="minorEastAsia" w:cstheme="minorEastAsia"/>
          <w:sz w:val="28"/>
          <w:szCs w:val="28"/>
        </w:rPr>
      </w:pPr>
    </w:p>
    <w:p>
      <w:pPr>
        <w:spacing w:line="500" w:lineRule="exact"/>
        <w:jc w:val="center"/>
        <w:rPr>
          <w:rFonts w:hint="eastAsia" w:asciiTheme="minorEastAsia" w:hAnsiTheme="minorEastAsia" w:cstheme="minorEastAsia"/>
          <w:sz w:val="28"/>
          <w:szCs w:val="28"/>
        </w:rPr>
      </w:pPr>
      <w:r>
        <w:rPr>
          <w:rFonts w:hint="eastAsia" w:asciiTheme="minorEastAsia" w:hAnsiTheme="minorEastAsia" w:cstheme="minorEastAsia"/>
          <w:sz w:val="28"/>
          <w:szCs w:val="28"/>
        </w:rPr>
        <w:t>图1：一临学院老年科</w:t>
      </w:r>
    </w:p>
    <w:p>
      <w:pPr>
        <w:spacing w:line="500" w:lineRule="exact"/>
        <w:jc w:val="left"/>
        <w:rPr>
          <w:rFonts w:hint="eastAsia" w:asciiTheme="minorEastAsia" w:hAnsiTheme="minorEastAsia" w:cstheme="minorEastAsia"/>
          <w:sz w:val="28"/>
          <w:szCs w:val="28"/>
        </w:rPr>
      </w:pPr>
    </w:p>
    <w:p>
      <w:pPr>
        <w:spacing w:line="500" w:lineRule="exact"/>
        <w:rPr>
          <w:rFonts w:hint="eastAsia" w:asciiTheme="minorEastAsia" w:hAnsiTheme="minorEastAsia" w:cstheme="minorEastAsia"/>
          <w:b/>
          <w:bCs/>
          <w:sz w:val="28"/>
          <w:szCs w:val="28"/>
        </w:rPr>
      </w:pPr>
      <w:r>
        <w:rPr>
          <w:rFonts w:asciiTheme="minorEastAsia" w:hAnsiTheme="minorEastAsia" w:cstheme="minorEastAsia"/>
          <w:b/>
          <w:bCs/>
          <w:sz w:val="28"/>
          <w:szCs w:val="28"/>
        </w:rPr>
        <w:t>二、</w:t>
      </w:r>
      <w:r>
        <w:rPr>
          <w:rFonts w:hint="eastAsia" w:asciiTheme="minorEastAsia" w:hAnsiTheme="minorEastAsia" w:cstheme="minorEastAsia"/>
          <w:b/>
          <w:bCs/>
          <w:sz w:val="28"/>
          <w:szCs w:val="28"/>
        </w:rPr>
        <w:t>我们学什么</w:t>
      </w:r>
    </w:p>
    <w:p>
      <w:pPr>
        <w:spacing w:line="500" w:lineRule="exact"/>
        <w:jc w:val="left"/>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（一）培养方式与课程体系</w:t>
      </w:r>
      <w:r>
        <w:rPr>
          <w:rFonts w:asciiTheme="minorEastAsia" w:hAnsiTheme="minorEastAsia" w:cstheme="minorEastAsia"/>
          <w:b/>
          <w:bCs/>
          <w:sz w:val="28"/>
          <w:szCs w:val="28"/>
        </w:rPr>
        <w:t>：</w:t>
      </w:r>
    </w:p>
    <w:p>
      <w:pPr>
        <w:spacing w:line="500" w:lineRule="exact"/>
        <w:jc w:val="left"/>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1.培养方针：</w:t>
      </w:r>
      <w:r>
        <w:rPr>
          <w:rFonts w:hint="eastAsia" w:asciiTheme="minorEastAsia" w:hAnsiTheme="minorEastAsia" w:cstheme="minorEastAsia"/>
          <w:sz w:val="28"/>
          <w:szCs w:val="28"/>
        </w:rPr>
        <w:t>育老年健康专才，促健康老龄化发展；培养老年医学人才，助力健康养老事业；聚焦老年医学，培育健康服务专业人才</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b/>
          <w:bCs/>
          <w:sz w:val="28"/>
          <w:szCs w:val="28"/>
        </w:rPr>
        <w:t>2.培养方式</w:t>
      </w:r>
      <w:r>
        <w:rPr>
          <w:rFonts w:asciiTheme="minorEastAsia" w:hAnsiTheme="minorEastAsia" w:cstheme="minorEastAsia"/>
          <w:b/>
          <w:bCs/>
          <w:sz w:val="28"/>
          <w:szCs w:val="28"/>
        </w:rPr>
        <w:t>：</w:t>
      </w:r>
      <w:r>
        <w:rPr>
          <w:rFonts w:hint="eastAsia" w:asciiTheme="minorEastAsia" w:hAnsiTheme="minorEastAsia" w:cstheme="minorEastAsia"/>
          <w:sz w:val="28"/>
          <w:szCs w:val="28"/>
        </w:rPr>
        <w:t>老年医学与健康专业（clinical medicine），学制4年，授管理学学士学位，总学分136.5，学位学分最低要求127.5学分，非学位学分最低要求9学分（含军事技能训练2学分、体育（5）1学分、外语综合测试1学分、第二课堂与劳动教育4学分、创新创业教育课1学分）。同时，达到《国家学生体质健康标准》。</w:t>
      </w:r>
    </w:p>
    <w:p>
      <w:pPr>
        <w:widowControl/>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b/>
          <w:bCs/>
          <w:sz w:val="28"/>
          <w:szCs w:val="28"/>
        </w:rPr>
        <w:t>3.课程体系</w:t>
      </w:r>
      <w:r>
        <w:rPr>
          <w:rFonts w:asciiTheme="minorEastAsia" w:hAnsiTheme="minorEastAsia" w:cstheme="minorEastAsia"/>
          <w:b/>
          <w:bCs/>
          <w:sz w:val="28"/>
          <w:szCs w:val="28"/>
        </w:rPr>
        <w:t>：</w:t>
      </w:r>
      <w:r>
        <w:rPr>
          <w:rFonts w:hint="eastAsia" w:asciiTheme="minorEastAsia" w:hAnsiTheme="minorEastAsia" w:cstheme="minorEastAsia"/>
          <w:sz w:val="28"/>
          <w:szCs w:val="28"/>
        </w:rPr>
        <w:t>构建了完善且系统的课程体系，涵盖公共基础课程、通识教育课程、专业教育课程以及创新创业教育课程。其中，公共基础课程夯实学生的人文社科与自然科学基础；通识教育课程拓宽学生的知识面与视野；专业教育课程则聚焦于老年医学与健康专业知识与技能的传授；创新创业教育课程激发学生的创新思维与创业意识。</w:t>
      </w:r>
    </w:p>
    <w:p>
      <w:pPr>
        <w:spacing w:line="500" w:lineRule="exact"/>
        <w:jc w:val="left"/>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（二）专业学习内容</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1.公共课程</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包括思想政治政治、英语、体育、计算机文化基础等课程。</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2.医学基础课程</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包括医用物理学、生理学、人体解剖学、组织学与胚胎学、生物化学、病理学、病理生理学、药理学、医用信息检索与利用、医学统计学等。</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3.专业核心课程</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 xml:space="preserve">  包括物理化学、材料物理性能、材料力学性能、生物化学、诊断学、内科学、外科学、老年医学、药事管理与法规、临床药物治疗学、临床营养学、老年心理学、康复医学、医学伦理学、健康教育学、人工智能导论、穿戴式医疗装备等。</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4.专业选修课程</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包括全科医学、精神病学、中医学、医患沟通与交流、人工智能、健康管理学等课程。</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5.实践教学环节及毕业实习</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在第四学年前的四个周，安排临床技能培训，包括2周诊断学临床技能培训，2周内外科临床技能培训。</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6.</w:t>
      </w:r>
      <w:r>
        <w:rPr>
          <w:rFonts w:hint="eastAsia"/>
        </w:rPr>
        <w:t xml:space="preserve"> </w:t>
      </w:r>
      <w:r>
        <w:rPr>
          <w:rFonts w:hint="eastAsia" w:asciiTheme="minorEastAsia" w:hAnsiTheme="minorEastAsia" w:cstheme="minorEastAsia"/>
          <w:sz w:val="28"/>
          <w:szCs w:val="28"/>
        </w:rPr>
        <w:t>创新创业教育课程：大学生职业生涯规划与就业指导，创新创业基础课组，大学生职业生涯规划与就业指导等。</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7.科研能力：文献检索与阅读、科研设计与实施等。</w:t>
      </w:r>
    </w:p>
    <w:p>
      <w:pPr>
        <w:spacing w:line="500" w:lineRule="exact"/>
        <w:jc w:val="left"/>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（三）精彩学术活动</w:t>
      </w:r>
    </w:p>
    <w:p>
      <w:pPr>
        <w:spacing w:line="500" w:lineRule="exact"/>
        <w:jc w:val="left"/>
        <w:rPr>
          <w:rFonts w:asciiTheme="minorEastAsia" w:hAnsiTheme="minorEastAsia" w:cstheme="minorEastAsia"/>
          <w:sz w:val="28"/>
          <w:szCs w:val="28"/>
        </w:rPr>
      </w:pPr>
      <w:r>
        <w:rPr>
          <w:rFonts w:hint="eastAsia" w:asciiTheme="minorEastAsia" w:hAnsiTheme="minorEastAsia" w:cstheme="minorEastAsia"/>
          <w:b/>
          <w:bCs/>
          <w:sz w:val="28"/>
          <w:szCs w:val="28"/>
        </w:rPr>
        <w:t>1.学术讲座：</w:t>
      </w:r>
      <w:r>
        <w:rPr>
          <w:rFonts w:hint="eastAsia" w:asciiTheme="minorEastAsia" w:hAnsiTheme="minorEastAsia" w:cstheme="minorEastAsia"/>
          <w:sz w:val="28"/>
          <w:szCs w:val="28"/>
        </w:rPr>
        <w:t>老年健康产业论坛：每年定期举办，邀请行业专家、企业代表共同探讨老年健康产业发展趋势、创新商业模式以及面临的挑战与机遇，为学生提供了解行业动态的前沿窗口。</w:t>
      </w:r>
    </w:p>
    <w:p>
      <w:pPr>
        <w:spacing w:line="500" w:lineRule="exact"/>
        <w:jc w:val="left"/>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hint="eastAsia" w:asciiTheme="minorEastAsia" w:hAnsiTheme="minorEastAsia" w:eastAsiaTheme="minorEastAsia" w:cstheme="minorEastAsia"/>
          <w:sz w:val="28"/>
          <w:szCs w:val="28"/>
          <w:lang w:eastAsia="zh-CN"/>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1661312" behindDoc="0" locked="0" layoutInCell="1" allowOverlap="1">
            <wp:simplePos x="0" y="0"/>
            <wp:positionH relativeFrom="column">
              <wp:posOffset>593090</wp:posOffset>
            </wp:positionH>
            <wp:positionV relativeFrom="paragraph">
              <wp:posOffset>-321945</wp:posOffset>
            </wp:positionV>
            <wp:extent cx="3915410" cy="1388110"/>
            <wp:effectExtent l="0" t="0" r="8890" b="2540"/>
            <wp:wrapSquare wrapText="bothSides"/>
            <wp:docPr id="2" name="图片 2" descr="ee7ba3a313b5248b26fc756923a8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7ba3a313b5248b26fc756923a8c2e"/>
                    <pic:cNvPicPr>
                      <a:picLocks noChangeAspect="1"/>
                    </pic:cNvPicPr>
                  </pic:nvPicPr>
                  <pic:blipFill>
                    <a:blip r:embed="rId6"/>
                    <a:stretch>
                      <a:fillRect/>
                    </a:stretch>
                  </pic:blipFill>
                  <pic:spPr>
                    <a:xfrm>
                      <a:off x="0" y="0"/>
                      <a:ext cx="3915410" cy="1388110"/>
                    </a:xfrm>
                    <a:prstGeom prst="rect">
                      <a:avLst/>
                    </a:prstGeom>
                  </pic:spPr>
                </pic:pic>
              </a:graphicData>
            </a:graphic>
          </wp:anchor>
        </w:drawing>
      </w: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1662336" behindDoc="0" locked="0" layoutInCell="1" allowOverlap="1">
            <wp:simplePos x="0" y="0"/>
            <wp:positionH relativeFrom="column">
              <wp:posOffset>560705</wp:posOffset>
            </wp:positionH>
            <wp:positionV relativeFrom="paragraph">
              <wp:posOffset>165100</wp:posOffset>
            </wp:positionV>
            <wp:extent cx="4012565" cy="2447925"/>
            <wp:effectExtent l="0" t="0" r="6985" b="9525"/>
            <wp:wrapSquare wrapText="bothSides"/>
            <wp:docPr id="3" name="图片 3" descr="18a6be980c582d851b589283190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a6be980c582d851b5892831909867"/>
                    <pic:cNvPicPr>
                      <a:picLocks noChangeAspect="1"/>
                    </pic:cNvPicPr>
                  </pic:nvPicPr>
                  <pic:blipFill>
                    <a:blip r:embed="rId7"/>
                    <a:stretch>
                      <a:fillRect/>
                    </a:stretch>
                  </pic:blipFill>
                  <pic:spPr>
                    <a:xfrm>
                      <a:off x="0" y="0"/>
                      <a:ext cx="4012565" cy="2447925"/>
                    </a:xfrm>
                    <a:prstGeom prst="rect">
                      <a:avLst/>
                    </a:prstGeom>
                  </pic:spPr>
                </pic:pic>
              </a:graphicData>
            </a:graphic>
          </wp:anchor>
        </w:drawing>
      </w:r>
    </w:p>
    <w:p>
      <w:pPr>
        <w:spacing w:line="500" w:lineRule="exact"/>
        <w:jc w:val="center"/>
        <w:rPr>
          <w:rFonts w:hint="eastAsia" w:asciiTheme="minorEastAsia" w:hAnsiTheme="minorEastAsia" w:eastAsiaTheme="minorEastAsia" w:cstheme="minorEastAsia"/>
          <w:sz w:val="28"/>
          <w:szCs w:val="28"/>
          <w:lang w:eastAsia="zh-CN"/>
        </w:rPr>
      </w:pPr>
    </w:p>
    <w:p>
      <w:pPr>
        <w:spacing w:line="500" w:lineRule="exact"/>
        <w:jc w:val="center"/>
        <w:rPr>
          <w:rFonts w:hint="eastAsia" w:asciiTheme="minorEastAsia" w:hAnsiTheme="minorEastAsia" w:eastAsiaTheme="minorEastAsia" w:cstheme="minorEastAsia"/>
          <w:sz w:val="28"/>
          <w:szCs w:val="28"/>
          <w:lang w:eastAsia="zh-CN"/>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p>
    <w:p>
      <w:pPr>
        <w:spacing w:line="500" w:lineRule="exact"/>
        <w:jc w:val="center"/>
        <w:rPr>
          <w:rFonts w:asciiTheme="minorEastAsia" w:hAnsiTheme="minorEastAsia" w:cstheme="minorEastAsia"/>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1663360" behindDoc="0" locked="0" layoutInCell="1" allowOverlap="1">
            <wp:simplePos x="0" y="0"/>
            <wp:positionH relativeFrom="column">
              <wp:posOffset>448945</wp:posOffset>
            </wp:positionH>
            <wp:positionV relativeFrom="paragraph">
              <wp:posOffset>122555</wp:posOffset>
            </wp:positionV>
            <wp:extent cx="4156075" cy="2770505"/>
            <wp:effectExtent l="0" t="0" r="15875" b="10795"/>
            <wp:wrapSquare wrapText="bothSides"/>
            <wp:docPr id="4" name="图片 4" descr="5f771df1fb73ded5074455f1ef1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771df1fb73ded5074455f1ef17496"/>
                    <pic:cNvPicPr>
                      <a:picLocks noChangeAspect="1"/>
                    </pic:cNvPicPr>
                  </pic:nvPicPr>
                  <pic:blipFill>
                    <a:blip r:embed="rId8"/>
                    <a:stretch>
                      <a:fillRect/>
                    </a:stretch>
                  </pic:blipFill>
                  <pic:spPr>
                    <a:xfrm>
                      <a:off x="0" y="0"/>
                      <a:ext cx="4156075" cy="2770505"/>
                    </a:xfrm>
                    <a:prstGeom prst="rect">
                      <a:avLst/>
                    </a:prstGeom>
                  </pic:spPr>
                </pic:pic>
              </a:graphicData>
            </a:graphic>
          </wp:anchor>
        </w:drawing>
      </w:r>
    </w:p>
    <w:p>
      <w:pPr>
        <w:spacing w:line="500" w:lineRule="exact"/>
        <w:jc w:val="center"/>
        <w:rPr>
          <w:rFonts w:hint="eastAsia" w:asciiTheme="minorEastAsia" w:hAnsiTheme="minorEastAsia" w:cstheme="minorEastAsia"/>
          <w:sz w:val="28"/>
          <w:szCs w:val="28"/>
        </w:rPr>
      </w:pPr>
    </w:p>
    <w:p>
      <w:pPr>
        <w:spacing w:line="500" w:lineRule="exact"/>
        <w:jc w:val="center"/>
        <w:rPr>
          <w:rFonts w:hint="eastAsia" w:asciiTheme="minorEastAsia" w:hAnsiTheme="minorEastAsia" w:cstheme="minorEastAsia"/>
          <w:sz w:val="28"/>
          <w:szCs w:val="28"/>
        </w:rPr>
      </w:pPr>
    </w:p>
    <w:p>
      <w:pPr>
        <w:spacing w:line="500" w:lineRule="exact"/>
        <w:jc w:val="center"/>
        <w:rPr>
          <w:rFonts w:hint="eastAsia" w:asciiTheme="minorEastAsia" w:hAnsiTheme="minorEastAsia" w:cstheme="minorEastAsia"/>
          <w:sz w:val="28"/>
          <w:szCs w:val="28"/>
        </w:rPr>
      </w:pPr>
    </w:p>
    <w:p>
      <w:pPr>
        <w:spacing w:line="500" w:lineRule="exact"/>
        <w:jc w:val="center"/>
        <w:rPr>
          <w:rFonts w:hint="eastAsia" w:asciiTheme="minorEastAsia" w:hAnsiTheme="minorEastAsia" w:cstheme="minorEastAsia"/>
          <w:sz w:val="28"/>
          <w:szCs w:val="28"/>
        </w:rPr>
      </w:pPr>
    </w:p>
    <w:p>
      <w:pPr>
        <w:spacing w:line="500" w:lineRule="exact"/>
        <w:jc w:val="center"/>
        <w:rPr>
          <w:rFonts w:hint="eastAsia" w:asciiTheme="minorEastAsia" w:hAnsiTheme="minorEastAsia" w:cstheme="minorEastAsia"/>
          <w:sz w:val="28"/>
          <w:szCs w:val="28"/>
        </w:rPr>
      </w:pPr>
    </w:p>
    <w:p>
      <w:pPr>
        <w:spacing w:line="500" w:lineRule="exact"/>
        <w:jc w:val="center"/>
        <w:rPr>
          <w:rFonts w:hint="eastAsia" w:asciiTheme="minorEastAsia" w:hAnsiTheme="minorEastAsia" w:cstheme="minorEastAsia"/>
          <w:sz w:val="28"/>
          <w:szCs w:val="28"/>
        </w:rPr>
      </w:pPr>
    </w:p>
    <w:p>
      <w:pPr>
        <w:spacing w:line="500" w:lineRule="exact"/>
        <w:jc w:val="center"/>
        <w:rPr>
          <w:rFonts w:hint="eastAsia" w:asciiTheme="minorEastAsia" w:hAnsiTheme="minorEastAsia" w:cstheme="minorEastAsia"/>
          <w:sz w:val="28"/>
          <w:szCs w:val="28"/>
        </w:rPr>
      </w:pPr>
    </w:p>
    <w:p>
      <w:pPr>
        <w:spacing w:line="500" w:lineRule="exact"/>
        <w:jc w:val="center"/>
        <w:rPr>
          <w:rFonts w:hint="eastAsia" w:asciiTheme="minorEastAsia" w:hAnsiTheme="minorEastAsia" w:cstheme="minorEastAsia"/>
          <w:sz w:val="28"/>
          <w:szCs w:val="28"/>
        </w:rPr>
      </w:pPr>
    </w:p>
    <w:p>
      <w:pPr>
        <w:spacing w:line="500" w:lineRule="exact"/>
        <w:jc w:val="center"/>
        <w:rPr>
          <w:rFonts w:hint="eastAsia" w:asciiTheme="minorEastAsia" w:hAnsiTheme="minorEastAsia" w:eastAsiaTheme="minorEastAsia" w:cstheme="minorEastAsia"/>
          <w:sz w:val="28"/>
          <w:szCs w:val="28"/>
          <w:lang w:eastAsia="zh-CN"/>
        </w:rPr>
      </w:pPr>
    </w:p>
    <w:p>
      <w:pPr>
        <w:spacing w:line="500" w:lineRule="exact"/>
        <w:jc w:val="center"/>
        <w:rPr>
          <w:rFonts w:hint="eastAsia" w:asciiTheme="minorEastAsia" w:hAnsiTheme="minorEastAsia" w:cstheme="minorEastAsia"/>
          <w:sz w:val="28"/>
          <w:szCs w:val="28"/>
        </w:rPr>
      </w:pPr>
      <w:r>
        <w:rPr>
          <w:rFonts w:hint="eastAsia" w:asciiTheme="minorEastAsia" w:hAnsiTheme="minorEastAsia" w:cstheme="minorEastAsia"/>
          <w:sz w:val="28"/>
          <w:szCs w:val="28"/>
        </w:rPr>
        <w:t>图2：学术活动</w:t>
      </w:r>
    </w:p>
    <w:p>
      <w:pPr>
        <w:jc w:val="left"/>
        <w:rPr>
          <w:rFonts w:hint="eastAsia" w:asciiTheme="minorEastAsia" w:hAnsiTheme="minorEastAsia" w:cstheme="minorEastAsia"/>
          <w:b/>
          <w:bCs/>
          <w:sz w:val="28"/>
          <w:szCs w:val="28"/>
        </w:rPr>
      </w:pPr>
      <w:r>
        <w:rPr>
          <w:rFonts w:hint="eastAsia" w:asciiTheme="minorEastAsia" w:hAnsiTheme="minorEastAsia" w:cstheme="minorEastAsia"/>
          <w:sz w:val="28"/>
          <w:szCs w:val="28"/>
        </w:rPr>
        <w:t>2.</w:t>
      </w:r>
      <w:r>
        <w:rPr>
          <w:rFonts w:hint="eastAsia" w:asciiTheme="minorEastAsia" w:hAnsiTheme="minorEastAsia" w:cstheme="minorEastAsia"/>
          <w:b/>
          <w:bCs/>
          <w:sz w:val="28"/>
          <w:szCs w:val="28"/>
        </w:rPr>
        <w:t>前沿研究方向：</w:t>
      </w:r>
    </w:p>
    <w:p>
      <w:pPr>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智慧养老技术应用：探索如何将人工智能、大数据、物联网等技术融入老年健康管理，实现老年人健康数据实时监测、智能预警和个性化服务推荐。</w:t>
      </w:r>
    </w:p>
    <w:p>
      <w:pPr>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老年长期照护体系优化：研究国内外老年长期照护模式，结合我国国情，提出优化老年长期照护服务体系的策略和方法，提高长期照护服务质量和效率。</w:t>
      </w:r>
    </w:p>
    <w:p>
      <w:pPr>
        <w:jc w:val="left"/>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3.国内学术活动：</w:t>
      </w:r>
    </w:p>
    <w:p>
      <w:pPr>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中国老年学和老年医学学会学术年会：汇聚全国老年学和老年医学领域的专家学者，分享最新研究成果，交流学术观点，推动学科发展。</w:t>
      </w:r>
    </w:p>
    <w:p>
      <w:pPr>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全国老年健康管理学术会议：专注于老年健康管理领域的学术交流，聚焦行业热点问题，展示最新研究进展和实践成果。</w:t>
      </w:r>
    </w:p>
    <w:p>
      <w:pPr>
        <w:jc w:val="left"/>
      </w:pPr>
      <w:r>
        <w:rPr>
          <w:rFonts w:hint="eastAsia" w:asciiTheme="minorEastAsia" w:hAnsiTheme="minorEastAsia" w:cstheme="minorEastAsia"/>
          <w:sz w:val="28"/>
          <w:szCs w:val="28"/>
        </w:rPr>
        <w:t>区域性老年健康产业研讨会：加强区域内老年健康产业相关机构和人员的交流合作，促进区域老年健康产业协同发展。</w:t>
      </w:r>
    </w:p>
    <w:p>
      <w:pPr>
        <w:rPr>
          <w:rFonts w:hint="eastAsia" w:asciiTheme="minorEastAsia" w:hAnsiTheme="minorEastAsia" w:cstheme="minorEastAsia"/>
          <w:sz w:val="28"/>
          <w:szCs w:val="28"/>
        </w:rPr>
      </w:pPr>
    </w:p>
    <w:p>
      <w:pPr>
        <w:spacing w:line="480" w:lineRule="exact"/>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三、未来在哪里</w:t>
      </w:r>
    </w:p>
    <w:p>
      <w:pPr>
        <w:spacing w:line="500" w:lineRule="exact"/>
        <w:jc w:val="left"/>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1.就业去向：</w:t>
      </w:r>
    </w:p>
    <w:p>
      <w:pPr>
        <w:spacing w:line="500" w:lineRule="exact"/>
        <w:jc w:val="left"/>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（1）参加工作</w:t>
      </w:r>
    </w:p>
    <w:p>
      <w:pPr>
        <w:spacing w:line="500" w:lineRule="exact"/>
        <w:ind w:firstLine="420"/>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参加工作：在各级各类养老机构从事运营管理、健康管理、护理服务等工作；在社区卫生服务中心、老年活动中心等担任老年健康指导专员、活动策划与组织者；在老年健康产品企业从事产品研发、市场推广、销售管理等工作；也可在政府相关部门从事老年健康政策制定与评估等工作。</w:t>
      </w:r>
    </w:p>
    <w:p>
      <w:pPr>
        <w:spacing w:line="500" w:lineRule="exact"/>
        <w:ind w:firstLine="420"/>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继续深造：攻读硕士学位，深入研究老年健康管理领域的学术问题，提升专业素养，为从事教学、科研或高端管理工作做准备；毕业后可继续攻读博士学位，进一步拓展学术研究深度和广度。</w:t>
      </w:r>
    </w:p>
    <w:p>
      <w:pPr>
        <w:spacing w:line="500" w:lineRule="exact"/>
        <w:ind w:firstLine="420"/>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 xml:space="preserve">自主创业：凭借在专业学习过程中积累的知识和实践经验，创办老年健康管理服务机构、养老用品企业等，为老年群体提供创新型产品和服务，助力老年健康产业发展。 </w:t>
      </w:r>
    </w:p>
    <w:p>
      <w:pPr>
        <w:spacing w:line="500" w:lineRule="exact"/>
        <w:jc w:val="left"/>
        <w:rPr>
          <w:rFonts w:hint="eastAsia" w:asciiTheme="minorEastAsia" w:hAnsiTheme="minorEastAsia" w:cstheme="minorEastAsia"/>
          <w:b/>
          <w:bCs/>
          <w:sz w:val="28"/>
          <w:szCs w:val="28"/>
        </w:rPr>
      </w:pP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b/>
          <w:bCs/>
          <w:sz w:val="28"/>
          <w:szCs w:val="28"/>
        </w:rPr>
        <w:t>（2）继续深造：</w:t>
      </w:r>
      <w:r>
        <w:rPr>
          <w:rFonts w:hint="eastAsia" w:asciiTheme="minorEastAsia" w:hAnsiTheme="minorEastAsia" w:cstheme="minorEastAsia"/>
          <w:sz w:val="28"/>
          <w:szCs w:val="28"/>
        </w:rPr>
        <w:t>攻读硕士、博士学位，进一步提升学术水平，从事更深入的科研或教学工作。</w:t>
      </w:r>
    </w:p>
    <w:p>
      <w:pPr>
        <w:spacing w:line="500" w:lineRule="exact"/>
        <w:jc w:val="left"/>
        <w:rPr>
          <w:rFonts w:hint="eastAsia" w:asciiTheme="minorEastAsia" w:hAnsiTheme="minorEastAsia" w:cstheme="minorEastAsia"/>
          <w:sz w:val="28"/>
          <w:szCs w:val="28"/>
        </w:rPr>
      </w:pPr>
      <w:r>
        <w:rPr>
          <w:rFonts w:hint="eastAsia" w:asciiTheme="minorEastAsia" w:hAnsiTheme="minorEastAsia" w:cstheme="minorEastAsia"/>
          <w:b/>
          <w:bCs/>
          <w:sz w:val="28"/>
          <w:szCs w:val="28"/>
        </w:rPr>
        <w:t>（3）出国留学：</w:t>
      </w:r>
      <w:r>
        <w:rPr>
          <w:rFonts w:hint="eastAsia" w:asciiTheme="minorEastAsia" w:hAnsiTheme="minorEastAsia" w:cstheme="minorEastAsia"/>
          <w:sz w:val="28"/>
          <w:szCs w:val="28"/>
        </w:rPr>
        <w:t>到国外知名医学院校深造，学习先进的技术与理念。</w:t>
      </w:r>
    </w:p>
    <w:p>
      <w:pPr>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2.就业单位</w:t>
      </w:r>
    </w:p>
    <w:p>
      <w:pPr>
        <w:rPr>
          <w:rFonts w:hint="eastAsia" w:asciiTheme="minorEastAsia" w:hAnsiTheme="minorEastAsia" w:cstheme="minorEastAsia"/>
          <w:sz w:val="28"/>
          <w:szCs w:val="28"/>
        </w:rPr>
      </w:pPr>
      <w:r>
        <w:rPr>
          <w:rFonts w:hint="eastAsia" w:asciiTheme="minorEastAsia" w:hAnsiTheme="minorEastAsia" w:cstheme="minorEastAsia"/>
          <w:sz w:val="28"/>
          <w:szCs w:val="28"/>
        </w:rPr>
        <w:t>各级政府民政部门、卫生健康委员会等</w:t>
      </w:r>
      <w:r>
        <w:rPr>
          <w:rFonts w:hint="eastAsia" w:asciiTheme="minorEastAsia" w:hAnsiTheme="minorEastAsia" w:cstheme="minorEastAsia"/>
          <w:sz w:val="28"/>
          <w:szCs w:val="28"/>
          <w:lang w:val="en-US" w:eastAsia="zh-CN"/>
        </w:rPr>
        <w:t>政府</w:t>
      </w:r>
      <w:r>
        <w:rPr>
          <w:rFonts w:hint="eastAsia" w:asciiTheme="minorEastAsia" w:hAnsiTheme="minorEastAsia" w:cstheme="minorEastAsia"/>
          <w:sz w:val="28"/>
          <w:szCs w:val="28"/>
        </w:rPr>
        <w:t>部门；养老机构，如养老院、老年公寓、医养结合机构；</w:t>
      </w:r>
      <w:r>
        <w:rPr>
          <w:rFonts w:hint="eastAsia" w:asciiTheme="minorEastAsia" w:hAnsiTheme="minorEastAsia" w:cstheme="minorEastAsia"/>
          <w:sz w:val="28"/>
          <w:szCs w:val="28"/>
          <w:lang w:val="en-US" w:eastAsia="zh-CN"/>
        </w:rPr>
        <w:t>体检机构；</w:t>
      </w:r>
      <w:r>
        <w:rPr>
          <w:rFonts w:hint="eastAsia" w:asciiTheme="minorEastAsia" w:hAnsiTheme="minorEastAsia" w:cstheme="minorEastAsia"/>
          <w:sz w:val="28"/>
          <w:szCs w:val="28"/>
        </w:rPr>
        <w:t>社区卫生服务中心、老年活动中心；</w:t>
      </w:r>
      <w:r>
        <w:rPr>
          <w:rFonts w:hint="eastAsia" w:asciiTheme="minorEastAsia" w:hAnsiTheme="minorEastAsia" w:cstheme="minorEastAsia"/>
          <w:sz w:val="28"/>
          <w:szCs w:val="28"/>
          <w:lang w:val="en-US" w:eastAsia="zh-CN"/>
        </w:rPr>
        <w:t>金融保险机构；</w:t>
      </w:r>
      <w:r>
        <w:rPr>
          <w:rFonts w:hint="eastAsia" w:asciiTheme="minorEastAsia" w:hAnsiTheme="minorEastAsia" w:cstheme="minorEastAsia"/>
          <w:sz w:val="28"/>
          <w:szCs w:val="28"/>
        </w:rPr>
        <w:t>老年健康产品研发、生产和销售企业；老年健康管理咨询公司等。</w:t>
      </w:r>
    </w:p>
    <w:p>
      <w:pPr>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3.升学去向</w:t>
      </w:r>
    </w:p>
    <w:p>
      <w:pPr>
        <w:ind w:firstLine="420"/>
        <w:rPr>
          <w:rFonts w:hint="eastAsia" w:asciiTheme="minorEastAsia" w:hAnsiTheme="minorEastAsia" w:cstheme="minorEastAsia"/>
          <w:sz w:val="28"/>
          <w:szCs w:val="28"/>
        </w:rPr>
      </w:pPr>
      <w:r>
        <w:rPr>
          <w:rFonts w:hint="eastAsia" w:asciiTheme="minorEastAsia" w:hAnsiTheme="minorEastAsia" w:cstheme="minorEastAsia"/>
          <w:sz w:val="28"/>
          <w:szCs w:val="28"/>
        </w:rPr>
        <w:t>老年医学与健康专业作为国家新医科，今年第一年招生，招生人数30名，作为国家重点建设新专业，南昌大学会</w:t>
      </w:r>
      <w:r>
        <w:rPr>
          <w:rFonts w:hint="eastAsia" w:asciiTheme="minorEastAsia" w:hAnsiTheme="minorEastAsia" w:cstheme="minorEastAsia"/>
          <w:sz w:val="28"/>
          <w:szCs w:val="28"/>
          <w:lang w:val="en-US" w:eastAsia="zh-CN"/>
        </w:rPr>
        <w:t>尽力提升</w:t>
      </w:r>
      <w:bookmarkStart w:id="0" w:name="_GoBack"/>
      <w:bookmarkEnd w:id="0"/>
      <w:r>
        <w:rPr>
          <w:rFonts w:hint="eastAsia" w:asciiTheme="minorEastAsia" w:hAnsiTheme="minorEastAsia" w:cstheme="minorEastAsia"/>
          <w:sz w:val="28"/>
          <w:szCs w:val="28"/>
        </w:rPr>
        <w:t>就业率，会与相关企业、机构签订合同，保证大家的就业率。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A0666B"/>
    <w:rsid w:val="00001FF2"/>
    <w:rsid w:val="00024DAD"/>
    <w:rsid w:val="00180E85"/>
    <w:rsid w:val="00186495"/>
    <w:rsid w:val="00217E78"/>
    <w:rsid w:val="00256322"/>
    <w:rsid w:val="002C3FCF"/>
    <w:rsid w:val="003230DE"/>
    <w:rsid w:val="0040426A"/>
    <w:rsid w:val="004744E6"/>
    <w:rsid w:val="00525BDC"/>
    <w:rsid w:val="0053723F"/>
    <w:rsid w:val="005C6520"/>
    <w:rsid w:val="006D2D32"/>
    <w:rsid w:val="006F7DAE"/>
    <w:rsid w:val="00736413"/>
    <w:rsid w:val="008561F0"/>
    <w:rsid w:val="00861A5B"/>
    <w:rsid w:val="00882404"/>
    <w:rsid w:val="0090012D"/>
    <w:rsid w:val="0099228A"/>
    <w:rsid w:val="00992FFA"/>
    <w:rsid w:val="00A263D2"/>
    <w:rsid w:val="00CC3DE2"/>
    <w:rsid w:val="00CF72F5"/>
    <w:rsid w:val="00D54648"/>
    <w:rsid w:val="00D70537"/>
    <w:rsid w:val="00E40036"/>
    <w:rsid w:val="00E73F78"/>
    <w:rsid w:val="00E90808"/>
    <w:rsid w:val="00F435F9"/>
    <w:rsid w:val="00F7666D"/>
    <w:rsid w:val="1329274F"/>
    <w:rsid w:val="189A71DB"/>
    <w:rsid w:val="26A77CAD"/>
    <w:rsid w:val="3F992284"/>
    <w:rsid w:val="4609638B"/>
    <w:rsid w:val="52260855"/>
    <w:rsid w:val="65A0666B"/>
    <w:rsid w:val="EBEF9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页眉 字符"/>
    <w:basedOn w:val="7"/>
    <w:link w:val="3"/>
    <w:qFormat/>
    <w:uiPriority w:val="0"/>
    <w:rPr>
      <w:rFonts w:asciiTheme="minorHAnsi" w:hAnsiTheme="minorHAnsi" w:eastAsiaTheme="minorEastAsia" w:cstheme="minorBidi"/>
      <w:kern w:val="2"/>
      <w:sz w:val="18"/>
      <w:szCs w:val="18"/>
    </w:rPr>
  </w:style>
  <w:style w:type="character" w:customStyle="1" w:styleId="10">
    <w:name w:val="页脚 字符"/>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2273</Words>
  <Characters>2318</Characters>
  <Lines>63</Lines>
  <Paragraphs>52</Paragraphs>
  <TotalTime>8</TotalTime>
  <ScaleCrop>false</ScaleCrop>
  <LinksUpToDate>false</LinksUpToDate>
  <CharactersWithSpaces>2325</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2025-03-22T09:48:00Z</dcterms:created>
  <dc:creator>蘑菇きのこ</dc:creator>
  <cp:lastModifiedBy>sunya井水</cp:lastModifiedBy>
  <dcterms:modified xsi:type="dcterms:W3CDTF">2025-05-21T08:27:48Z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3A4130C95267973A041E2D68D0DB8CA2_43</vt:lpwstr>
  </property>
  <property fmtid="{D5CDD505-2E9C-101B-9397-08002B2CF9AE}" pid="4" name="KSOTemplateDocerSaveRecord">
    <vt:lpwstr>eyJoZGlkIjoiMjU4N2E4NTBkOGIyYjA2OGUzOTFmNjAzNDA0OTZhMDUifQ==</vt:lpwstr>
  </property>
</Properties>
</file>