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Songti SC Regular" w:hAnsi="Songti SC Regular" w:eastAsia="Songti SC Regular" w:cs="Songti SC Regular"/>
        </w:rPr>
      </w:pPr>
      <w:r>
        <w:rPr>
          <w:rFonts w:hint="eastAsia" w:ascii="Songti SC Regular" w:hAnsi="Songti SC Regular" w:eastAsia="Songti SC Regular" w:cs="Songti SC Regular"/>
        </w:rPr>
        <w:t>导师姓名：</w:t>
      </w:r>
      <w:r>
        <w:rPr>
          <w:rFonts w:hint="eastAsia" w:ascii="Songti SC Regular" w:hAnsi="Songti SC Regular" w:eastAsia="Songti SC Regular" w:cs="Songti SC Regular"/>
          <w:lang w:val="en-US" w:eastAsia="zh-Hans"/>
        </w:rPr>
        <w:t>孙贵才</w:t>
      </w:r>
      <w:r>
        <w:rPr>
          <w:rFonts w:hint="eastAsia" w:ascii="Songti SC Regular" w:hAnsi="Songti SC Regular" w:eastAsia="Songti SC Regular" w:cs="Songti SC Regular"/>
        </w:rPr>
        <w:t xml:space="preserve"> </w:t>
      </w:r>
      <w:r>
        <w:rPr>
          <w:rFonts w:hint="eastAsia" w:ascii="Songti SC Regular" w:hAnsi="Songti SC Regular" w:eastAsia="Songti SC Regular" w:cs="Songti SC Regular"/>
        </w:rPr>
        <w:t xml:space="preserve">     </w:t>
      </w:r>
      <w:r>
        <w:rPr>
          <w:rFonts w:hint="eastAsia" w:ascii="Songti SC Regular" w:hAnsi="Songti SC Regular" w:eastAsia="Songti SC Regular" w:cs="Songti SC Regular"/>
        </w:rPr>
        <w:t>性别：</w:t>
      </w:r>
      <w:r>
        <w:rPr>
          <w:rFonts w:hint="eastAsia" w:ascii="Songti SC Regular" w:hAnsi="Songti SC Regular" w:eastAsia="Songti SC Regular" w:cs="Songti SC Regular"/>
          <w:lang w:val="en-US" w:eastAsia="zh-Hans"/>
        </w:rPr>
        <w:t>男</w:t>
      </w:r>
    </w:p>
    <w:p>
      <w:pPr>
        <w:rPr>
          <w:rFonts w:hint="eastAsia" w:ascii="Songti SC Regular" w:hAnsi="Songti SC Regular" w:eastAsia="Songti SC Regular" w:cs="Songti SC Regular"/>
        </w:rPr>
      </w:pPr>
      <w:r>
        <w:rPr>
          <w:rFonts w:hint="eastAsia" w:ascii="Songti SC Regular" w:hAnsi="Songti SC Regular" w:eastAsia="Songti SC Regular" w:cs="Songti SC Regular"/>
        </w:rPr>
        <w:t>个人简介（包含行政职务及学术任职等）：</w:t>
      </w:r>
    </w:p>
    <w:p>
      <w:pPr>
        <w:spacing w:line="360" w:lineRule="auto"/>
        <w:ind w:firstLine="525" w:firstLineChars="250"/>
        <w:rPr>
          <w:rFonts w:hint="eastAsia" w:ascii="Songti SC Regular" w:hAnsi="Songti SC Regular" w:eastAsia="Songti SC Regular" w:cs="Songti SC Regular"/>
        </w:rPr>
      </w:pPr>
      <w:r>
        <w:rPr>
          <w:rFonts w:hint="eastAsia" w:ascii="Songti SC Regular" w:hAnsi="Songti SC Regular" w:eastAsia="Songti SC Regular" w:cs="Songti SC Regular"/>
        </w:rPr>
        <w:t>孙贵才，1970.9出生，医学博士，博士后，主任医师，教授，博士研究生导师，江西省高校中青年骨干教师，教育部高等学校中西医结合教学指导委员会委员，江西省关节镜学组组长，江西省运动医学委员会副主任委员，中国医师协会运动医学分会常委，2011年全国卫生系统职业道德建设标兵，2012年 江西省医德医风标兵，2017年南昌大学医学部师德师风十大标兵，江西省卫生系统学术和技术带头人第四批培养对象。擅长关节镜微创技术治疗膝、髋、踝、肩、肘、腕等关节疾病。</w:t>
      </w:r>
    </w:p>
    <w:p>
      <w:pPr>
        <w:spacing w:line="360" w:lineRule="auto"/>
        <w:rPr>
          <w:rFonts w:hint="eastAsia" w:ascii="Songti SC Regular" w:hAnsi="Songti SC Regular" w:eastAsia="Songti SC Regular" w:cs="Songti SC Regular"/>
        </w:rPr>
      </w:pPr>
      <w:r>
        <w:rPr>
          <w:rFonts w:hint="eastAsia" w:ascii="Songti SC Regular" w:hAnsi="Songti SC Regular" w:eastAsia="Songti SC Regular" w:cs="Songti SC Regular"/>
        </w:rPr>
        <w:t>主持国家自然基金项目六项，参与完成国家自然基金项目两项，主持民政部、省自然基金各一项、省卫生厅课题两项，参与完成厅级以上课题3项，SCI及国家级论文</w:t>
      </w:r>
      <w:r>
        <w:rPr>
          <w:rFonts w:hint="eastAsia" w:ascii="Songti SC Regular" w:hAnsi="Songti SC Regular" w:eastAsia="Songti SC Regular" w:cs="Songti SC Regular"/>
          <w:lang w:val="en-US" w:eastAsia="zh-Hans"/>
        </w:rPr>
        <w:t>四</w:t>
      </w:r>
      <w:r>
        <w:rPr>
          <w:rFonts w:hint="eastAsia" w:ascii="Songti SC Regular" w:hAnsi="Songti SC Regular" w:eastAsia="Songti SC Regular" w:cs="Songti SC Regular"/>
        </w:rPr>
        <w:t>十余篇。省教委科技进步二等奖一项，省中医管理局中医药科技进步二等奖一项，省政府科技进步二等奖一项。</w:t>
      </w:r>
    </w:p>
    <w:p>
      <w:pPr>
        <w:rPr>
          <w:rFonts w:hint="eastAsia" w:ascii="Songti SC Regular" w:hAnsi="Songti SC Regular" w:eastAsia="Songti SC Regular" w:cs="Songti SC Regular"/>
        </w:rPr>
      </w:pPr>
    </w:p>
    <w:p>
      <w:pPr>
        <w:rPr>
          <w:rFonts w:hint="eastAsia" w:ascii="Songti SC Regular" w:hAnsi="Songti SC Regular" w:eastAsia="Songti SC Regular" w:cs="Songti SC Regular"/>
        </w:rPr>
      </w:pPr>
      <w:r>
        <w:rPr>
          <w:rFonts w:hint="eastAsia" w:ascii="Songti SC Regular" w:hAnsi="Songti SC Regular" w:eastAsia="Songti SC Regular" w:cs="Songti SC Regular"/>
        </w:rPr>
        <w:t>招生学科：骨外（专硕</w:t>
      </w:r>
      <w:r>
        <w:rPr>
          <w:rFonts w:hint="eastAsia" w:ascii="Songti SC Regular" w:hAnsi="Songti SC Regular" w:eastAsia="Songti SC Regular" w:cs="Songti SC Regular"/>
        </w:rPr>
        <w:t>√</w:t>
      </w:r>
      <w:r>
        <w:rPr>
          <w:rFonts w:hint="eastAsia" w:ascii="Songti SC Regular" w:hAnsi="Songti SC Regular" w:eastAsia="Songti SC Regular" w:cs="Songti SC Regular"/>
        </w:rPr>
        <w:t>/学硕</w:t>
      </w:r>
      <w:r>
        <w:rPr>
          <w:rFonts w:hint="eastAsia" w:ascii="Songti SC Regular" w:hAnsi="Songti SC Regular" w:eastAsia="Songti SC Regular" w:cs="Songti SC Regular"/>
        </w:rPr>
        <w:t>√</w:t>
      </w:r>
      <w:r>
        <w:rPr>
          <w:rFonts w:hint="eastAsia" w:ascii="Songti SC Regular" w:hAnsi="Songti SC Regular" w:eastAsia="Songti SC Regular" w:cs="Songti SC Regular"/>
        </w:rPr>
        <w:t>），运动医学（专硕</w:t>
      </w:r>
      <w:r>
        <w:rPr>
          <w:rFonts w:hint="eastAsia" w:ascii="Songti SC Regular" w:hAnsi="Songti SC Regular" w:eastAsia="Songti SC Regular" w:cs="Songti SC Regular"/>
        </w:rPr>
        <w:t>√</w:t>
      </w:r>
      <w:r>
        <w:rPr>
          <w:rFonts w:hint="eastAsia" w:ascii="Songti SC Regular" w:hAnsi="Songti SC Regular" w:eastAsia="Songti SC Regular" w:cs="Songti SC Regular"/>
        </w:rPr>
        <w:t>）</w:t>
      </w:r>
    </w:p>
    <w:p>
      <w:pPr>
        <w:rPr>
          <w:rFonts w:hint="eastAsia" w:ascii="Songti SC Regular" w:hAnsi="Songti SC Regular" w:eastAsia="Songti SC Regular" w:cs="Songti SC Regular"/>
        </w:rPr>
      </w:pPr>
      <w:r>
        <w:rPr>
          <w:rFonts w:hint="eastAsia" w:ascii="Songti SC Regular" w:hAnsi="Songti SC Regular" w:eastAsia="Songti SC Regular" w:cs="Songti SC Regular"/>
        </w:rPr>
        <w:t>导师类型：博士生导师（学博</w:t>
      </w:r>
      <w:r>
        <w:rPr>
          <w:rFonts w:hint="eastAsia" w:ascii="Songti SC Regular" w:hAnsi="Songti SC Regular" w:eastAsia="Songti SC Regular" w:cs="Songti SC Regular"/>
          <w:b/>
          <w:bCs/>
        </w:rPr>
        <w:t>√</w:t>
      </w:r>
      <w:r>
        <w:rPr>
          <w:rFonts w:hint="eastAsia" w:ascii="Songti SC Regular" w:hAnsi="Songti SC Regular" w:eastAsia="Songti SC Regular" w:cs="Songti SC Regular"/>
        </w:rPr>
        <w:t>/专博</w:t>
      </w:r>
      <w:r>
        <w:rPr>
          <w:rFonts w:hint="eastAsia" w:ascii="Songti SC Regular" w:hAnsi="Songti SC Regular" w:eastAsia="Songti SC Regular" w:cs="Songti SC Regular"/>
        </w:rPr>
        <w:t>√</w:t>
      </w:r>
      <w:r>
        <w:rPr>
          <w:rFonts w:hint="eastAsia" w:ascii="Songti SC Regular" w:hAnsi="Songti SC Regular" w:eastAsia="Songti SC Regular" w:cs="Songti SC Regular"/>
        </w:rPr>
        <w:t>），硕士生导师（学硕</w:t>
      </w:r>
      <w:r>
        <w:rPr>
          <w:rFonts w:hint="eastAsia" w:ascii="Songti SC Regular" w:hAnsi="Songti SC Regular" w:eastAsia="Songti SC Regular" w:cs="Songti SC Regular"/>
        </w:rPr>
        <w:t>√</w:t>
      </w:r>
      <w:r>
        <w:rPr>
          <w:rFonts w:hint="eastAsia" w:ascii="Songti SC Regular" w:hAnsi="Songti SC Regular" w:eastAsia="Songti SC Regular" w:cs="Songti SC Regular"/>
        </w:rPr>
        <w:t>/专硕</w:t>
      </w:r>
      <w:r>
        <w:rPr>
          <w:rFonts w:hint="eastAsia" w:ascii="Songti SC Regular" w:hAnsi="Songti SC Regular" w:eastAsia="Songti SC Regular" w:cs="Songti SC Regular"/>
        </w:rPr>
        <w:t>√</w:t>
      </w:r>
      <w:r>
        <w:rPr>
          <w:rFonts w:hint="eastAsia" w:ascii="Songti SC Regular" w:hAnsi="Songti SC Regular" w:eastAsia="Songti SC Regular" w:cs="Songti SC Regular"/>
        </w:rPr>
        <w:t>）</w:t>
      </w:r>
    </w:p>
    <w:p>
      <w:pPr>
        <w:rPr>
          <w:rFonts w:hint="eastAsia" w:ascii="Songti SC Regular" w:hAnsi="Songti SC Regular" w:eastAsia="Songti SC Regular" w:cs="Songti SC Regular"/>
        </w:rPr>
      </w:pPr>
    </w:p>
    <w:p>
      <w:pPr>
        <w:rPr>
          <w:rFonts w:hint="eastAsia" w:ascii="Songti SC Regular" w:hAnsi="Songti SC Regular" w:eastAsia="Songti SC Regular" w:cs="Songti SC Regular"/>
        </w:rPr>
      </w:pPr>
      <w:r>
        <w:rPr>
          <w:rFonts w:hint="eastAsia" w:ascii="Songti SC Regular" w:hAnsi="Songti SC Regular" w:eastAsia="Songti SC Regular" w:cs="Songti SC Regular"/>
        </w:rPr>
        <w:t>邮箱：</w:t>
      </w:r>
      <w:r>
        <w:rPr>
          <w:rFonts w:hint="eastAsia" w:ascii="Songti SC Regular" w:hAnsi="Songti SC Regular" w:eastAsia="Songti SC Regular" w:cs="Songti SC Regular"/>
        </w:rPr>
        <w:t>13657000633@139</w:t>
      </w:r>
      <w:r>
        <w:rPr>
          <w:rFonts w:hint="eastAsia" w:ascii="Songti SC Regular" w:hAnsi="Songti SC Regular" w:eastAsia="Songti SC Regular" w:cs="Songti SC Regular"/>
          <w:lang w:val="en-US" w:eastAsia="zh-Hans"/>
        </w:rPr>
        <w:t>.com</w:t>
      </w:r>
    </w:p>
    <w:p>
      <w:pPr>
        <w:rPr>
          <w:rFonts w:hint="eastAsia" w:ascii="Songti SC Regular" w:hAnsi="Songti SC Regular" w:eastAsia="Songti SC Regular" w:cs="Songti SC Regular"/>
        </w:rPr>
      </w:pPr>
    </w:p>
    <w:p>
      <w:r>
        <w:rPr>
          <w:rFonts w:hint="eastAsia" w:ascii="Songti SC Regular" w:hAnsi="Songti SC Regular" w:eastAsia="Songti SC Regular" w:cs="Songti SC Regular"/>
        </w:rPr>
        <w:t>研究方向：</w:t>
      </w:r>
      <w:r>
        <w:rPr>
          <w:rFonts w:hint="eastAsia" w:ascii="Songti SC Regular" w:hAnsi="Songti SC Regular" w:eastAsia="Songti SC Regular" w:cs="Songti SC Regular"/>
          <w:lang w:val="en-US" w:eastAsia="zh-Hans"/>
        </w:rPr>
        <w:t>中西医结合治疗骨关节疾病</w:t>
      </w:r>
    </w:p>
    <w:p/>
    <w:p>
      <w:r>
        <w:rPr>
          <w:rFonts w:hint="eastAsia"/>
        </w:rPr>
        <w:t>科研项目：</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2"/>
        <w:gridCol w:w="1383"/>
        <w:gridCol w:w="1383"/>
        <w:gridCol w:w="1383"/>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2" w:type="dxa"/>
          </w:tcPr>
          <w:p>
            <w:r>
              <w:rPr>
                <w:rFonts w:hint="eastAsia"/>
              </w:rPr>
              <w:t>项目编号</w:t>
            </w:r>
          </w:p>
        </w:tc>
        <w:tc>
          <w:tcPr>
            <w:tcW w:w="1382" w:type="dxa"/>
          </w:tcPr>
          <w:p>
            <w:r>
              <w:rPr>
                <w:rFonts w:hint="eastAsia"/>
              </w:rPr>
              <w:t>项目名称</w:t>
            </w:r>
          </w:p>
        </w:tc>
        <w:tc>
          <w:tcPr>
            <w:tcW w:w="1383" w:type="dxa"/>
          </w:tcPr>
          <w:p>
            <w:r>
              <w:rPr>
                <w:rFonts w:hint="eastAsia"/>
              </w:rPr>
              <w:t>课题来源</w:t>
            </w:r>
          </w:p>
        </w:tc>
        <w:tc>
          <w:tcPr>
            <w:tcW w:w="1383" w:type="dxa"/>
          </w:tcPr>
          <w:p>
            <w:r>
              <w:rPr>
                <w:rFonts w:hint="eastAsia"/>
              </w:rPr>
              <w:t>起止年月</w:t>
            </w:r>
          </w:p>
        </w:tc>
        <w:tc>
          <w:tcPr>
            <w:tcW w:w="1383" w:type="dxa"/>
          </w:tcPr>
          <w:p>
            <w:r>
              <w:rPr>
                <w:rFonts w:hint="eastAsia"/>
              </w:rPr>
              <w:t>批准经费</w:t>
            </w:r>
          </w:p>
        </w:tc>
        <w:tc>
          <w:tcPr>
            <w:tcW w:w="1383" w:type="dxa"/>
          </w:tcPr>
          <w:p>
            <w:r>
              <w:rPr>
                <w:rFonts w:hint="eastAsia"/>
              </w:rPr>
              <w:t>承担职责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2" w:type="dxa"/>
            <w:vAlign w:val="center"/>
          </w:tcPr>
          <w:p>
            <w:pPr>
              <w:spacing w:before="120" w:after="24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1</w:t>
            </w:r>
          </w:p>
        </w:tc>
        <w:tc>
          <w:tcPr>
            <w:tcW w:w="1382" w:type="dxa"/>
            <w:vAlign w:val="center"/>
          </w:tcPr>
          <w:p>
            <w:pPr>
              <w:spacing w:before="120" w:after="24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lang w:val="zh-Hans" w:eastAsia="zh-Hans"/>
              </w:rPr>
              <w:t>基于膜铁转运蛋白1研究铁死亡通路在骨质疏松发病过程中的作用机制及中药的干预</w:t>
            </w:r>
          </w:p>
        </w:tc>
        <w:tc>
          <w:tcPr>
            <w:tcW w:w="1383" w:type="dxa"/>
            <w:vAlign w:val="center"/>
          </w:tcPr>
          <w:p>
            <w:pPr>
              <w:spacing w:before="120" w:after="24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国家自然基金</w:t>
            </w:r>
          </w:p>
        </w:tc>
        <w:tc>
          <w:tcPr>
            <w:tcW w:w="1383" w:type="dxa"/>
            <w:vAlign w:val="center"/>
          </w:tcPr>
          <w:p>
            <w:pPr>
              <w:spacing w:before="120" w:after="24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lang w:val="en-US"/>
              </w:rPr>
              <w:t>20</w:t>
            </w:r>
            <w:r>
              <w:rPr>
                <w:rFonts w:hint="eastAsia" w:ascii="Songti SC Regular" w:hAnsi="Songti SC Regular" w:eastAsia="Songti SC Regular" w:cs="Songti SC Regular"/>
                <w:sz w:val="18"/>
                <w:szCs w:val="18"/>
                <w:rtl w:val="0"/>
                <w:lang w:val="zh-Hans" w:eastAsia="zh-Hans"/>
              </w:rPr>
              <w:t>20</w:t>
            </w:r>
            <w:r>
              <w:rPr>
                <w:rFonts w:hint="eastAsia" w:ascii="Songti SC Regular" w:hAnsi="Songti SC Regular" w:eastAsia="Songti SC Regular" w:cs="Songti SC Regular"/>
                <w:sz w:val="18"/>
                <w:szCs w:val="18"/>
                <w:rtl w:val="0"/>
                <w:lang w:val="en-US"/>
              </w:rPr>
              <w:t>.1-20</w:t>
            </w:r>
            <w:r>
              <w:rPr>
                <w:rFonts w:hint="eastAsia" w:ascii="Songti SC Regular" w:hAnsi="Songti SC Regular" w:eastAsia="Songti SC Regular" w:cs="Songti SC Regular"/>
                <w:sz w:val="18"/>
                <w:szCs w:val="18"/>
                <w:rtl w:val="0"/>
                <w:lang w:val="zh-Hans" w:eastAsia="zh-Hans"/>
              </w:rPr>
              <w:t>23</w:t>
            </w:r>
            <w:r>
              <w:rPr>
                <w:rFonts w:hint="eastAsia" w:ascii="Songti SC Regular" w:hAnsi="Songti SC Regular" w:eastAsia="Songti SC Regular" w:cs="Songti SC Regular"/>
                <w:sz w:val="18"/>
                <w:szCs w:val="18"/>
                <w:rtl w:val="0"/>
                <w:lang w:val="en-US"/>
              </w:rPr>
              <w:t>.12</w:t>
            </w:r>
          </w:p>
        </w:tc>
        <w:tc>
          <w:tcPr>
            <w:tcW w:w="1383" w:type="dxa"/>
            <w:vAlign w:val="center"/>
          </w:tcPr>
          <w:p>
            <w:pPr>
              <w:spacing w:before="120" w:after="24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lang w:val="en-US"/>
              </w:rPr>
              <w:t>3</w:t>
            </w:r>
            <w:r>
              <w:rPr>
                <w:rFonts w:hint="eastAsia" w:ascii="Songti SC Regular" w:hAnsi="Songti SC Regular" w:eastAsia="Songti SC Regular" w:cs="Songti SC Regular"/>
                <w:sz w:val="18"/>
                <w:szCs w:val="18"/>
                <w:rtl w:val="0"/>
                <w:lang w:val="zh-Hans" w:eastAsia="zh-Hans"/>
              </w:rPr>
              <w:t>5</w:t>
            </w:r>
          </w:p>
        </w:tc>
        <w:tc>
          <w:tcPr>
            <w:tcW w:w="1383"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课题负责人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2" w:type="dxa"/>
            <w:vAlign w:val="center"/>
          </w:tcPr>
          <w:p>
            <w:pPr>
              <w:spacing w:before="120" w:after="24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2</w:t>
            </w:r>
          </w:p>
        </w:tc>
        <w:tc>
          <w:tcPr>
            <w:tcW w:w="1382" w:type="dxa"/>
            <w:vAlign w:val="center"/>
          </w:tcPr>
          <w:p>
            <w:pPr>
              <w:spacing w:before="120" w:after="24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lang w:val="en-US"/>
              </w:rPr>
              <w:t>mTOR</w:t>
            </w:r>
            <w:r>
              <w:rPr>
                <w:rFonts w:hint="eastAsia" w:ascii="Songti SC Regular" w:hAnsi="Songti SC Regular" w:eastAsia="Songti SC Regular" w:cs="Songti SC Regular"/>
                <w:sz w:val="18"/>
                <w:szCs w:val="18"/>
                <w:rtl w:val="0"/>
                <w:lang w:val="zh-Hans" w:eastAsia="zh-Hans"/>
              </w:rPr>
              <w:t>信号通路对骨质疏松发病动态平衡中细胞自噬与凋亡相互调节的影响及中药干预</w:t>
            </w:r>
          </w:p>
        </w:tc>
        <w:tc>
          <w:tcPr>
            <w:tcW w:w="1383" w:type="dxa"/>
            <w:vAlign w:val="center"/>
          </w:tcPr>
          <w:p>
            <w:pPr>
              <w:spacing w:before="120" w:after="24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国家自然基金</w:t>
            </w:r>
          </w:p>
        </w:tc>
        <w:tc>
          <w:tcPr>
            <w:tcW w:w="1383" w:type="dxa"/>
            <w:vAlign w:val="center"/>
          </w:tcPr>
          <w:p>
            <w:pPr>
              <w:pStyle w:val="9"/>
              <w:spacing w:line="192" w:lineRule="auto"/>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lang w:val="en-US"/>
              </w:rPr>
              <w:t>201</w:t>
            </w:r>
            <w:r>
              <w:rPr>
                <w:rFonts w:hint="eastAsia" w:ascii="Songti SC Regular" w:hAnsi="Songti SC Regular" w:eastAsia="Songti SC Regular" w:cs="Songti SC Regular"/>
                <w:sz w:val="18"/>
                <w:szCs w:val="18"/>
                <w:rtl w:val="0"/>
                <w:lang w:val="zh-Hans" w:eastAsia="zh-Hans"/>
              </w:rPr>
              <w:t>7</w:t>
            </w:r>
            <w:r>
              <w:rPr>
                <w:rFonts w:hint="eastAsia" w:ascii="Songti SC Regular" w:hAnsi="Songti SC Regular" w:eastAsia="Songti SC Regular" w:cs="Songti SC Regular"/>
                <w:sz w:val="18"/>
                <w:szCs w:val="18"/>
                <w:rtl w:val="0"/>
                <w:lang w:val="en-US"/>
              </w:rPr>
              <w:t>.1</w:t>
            </w:r>
            <w:r>
              <w:rPr>
                <w:rFonts w:hint="eastAsia" w:ascii="Songti SC Regular" w:hAnsi="Songti SC Regular" w:eastAsia="Songti SC Regular" w:cs="Songti SC Regular"/>
                <w:sz w:val="18"/>
                <w:szCs w:val="18"/>
                <w:rtl w:val="0"/>
                <w:lang w:val="zh-Hans" w:eastAsia="zh-Hans"/>
              </w:rPr>
              <w:t>-</w:t>
            </w:r>
          </w:p>
          <w:p>
            <w:pPr>
              <w:spacing w:before="120" w:after="24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lang w:val="en-US"/>
              </w:rPr>
              <w:t>20</w:t>
            </w:r>
            <w:r>
              <w:rPr>
                <w:rFonts w:hint="eastAsia" w:ascii="Songti SC Regular" w:hAnsi="Songti SC Regular" w:eastAsia="Songti SC Regular" w:cs="Songti SC Regular"/>
                <w:sz w:val="18"/>
                <w:szCs w:val="18"/>
                <w:rtl w:val="0"/>
                <w:lang w:val="zh-Hans" w:eastAsia="zh-Hans"/>
              </w:rPr>
              <w:t>10</w:t>
            </w:r>
            <w:r>
              <w:rPr>
                <w:rFonts w:hint="eastAsia" w:ascii="Songti SC Regular" w:hAnsi="Songti SC Regular" w:eastAsia="Songti SC Regular" w:cs="Songti SC Regular"/>
                <w:sz w:val="18"/>
                <w:szCs w:val="18"/>
                <w:rtl w:val="0"/>
                <w:lang w:val="en-US"/>
              </w:rPr>
              <w:t>.12</w:t>
            </w:r>
          </w:p>
        </w:tc>
        <w:tc>
          <w:tcPr>
            <w:tcW w:w="1383" w:type="dxa"/>
            <w:vAlign w:val="center"/>
          </w:tcPr>
          <w:p>
            <w:pPr>
              <w:spacing w:before="120" w:after="24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lang w:val="en-US"/>
              </w:rPr>
              <w:t>36</w:t>
            </w:r>
          </w:p>
        </w:tc>
        <w:tc>
          <w:tcPr>
            <w:tcW w:w="1383"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课题负责人</w:t>
            </w:r>
          </w:p>
        </w:tc>
      </w:tr>
    </w:tbl>
    <w:p/>
    <w:p/>
    <w:p>
      <w:r>
        <w:rPr>
          <w:rFonts w:hint="eastAsia"/>
        </w:rPr>
        <w:t>学术论文（如篇幅较多，请选择近5年）：</w:t>
      </w:r>
    </w:p>
    <w:tbl>
      <w:tblPr>
        <w:tblStyle w:val="4"/>
        <w:tblW w:w="84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8"/>
        <w:gridCol w:w="1923"/>
        <w:gridCol w:w="1462"/>
        <w:gridCol w:w="1569"/>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1" w:hRule="atLeast"/>
        </w:trPr>
        <w:tc>
          <w:tcPr>
            <w:tcW w:w="1940" w:type="dxa"/>
          </w:tcPr>
          <w:p>
            <w:r>
              <w:rPr>
                <w:rFonts w:hint="eastAsia"/>
              </w:rPr>
              <w:t>论文标题</w:t>
            </w:r>
          </w:p>
        </w:tc>
        <w:tc>
          <w:tcPr>
            <w:tcW w:w="1945" w:type="dxa"/>
          </w:tcPr>
          <w:p>
            <w:r>
              <w:rPr>
                <w:rFonts w:hint="eastAsia"/>
              </w:rPr>
              <w:t>期刊名</w:t>
            </w:r>
          </w:p>
        </w:tc>
        <w:tc>
          <w:tcPr>
            <w:tcW w:w="1495" w:type="dxa"/>
          </w:tcPr>
          <w:p>
            <w:pPr>
              <w:rPr>
                <w:rFonts w:hint="eastAsia"/>
              </w:rPr>
            </w:pPr>
            <w:r>
              <w:rPr>
                <w:rFonts w:hint="eastAsia"/>
              </w:rPr>
              <w:t>出版年</w:t>
            </w:r>
          </w:p>
        </w:tc>
        <w:tc>
          <w:tcPr>
            <w:tcW w:w="1574" w:type="dxa"/>
          </w:tcPr>
          <w:p>
            <w:pPr>
              <w:rPr>
                <w:rFonts w:hint="eastAsia"/>
              </w:rPr>
            </w:pPr>
            <w:r>
              <w:rPr>
                <w:rFonts w:hint="eastAsia"/>
              </w:rPr>
              <w:t>卷期页码</w:t>
            </w:r>
          </w:p>
        </w:tc>
        <w:tc>
          <w:tcPr>
            <w:tcW w:w="1469" w:type="dxa"/>
          </w:tcPr>
          <w:p>
            <w:r>
              <w:rPr>
                <w:rFonts w:hint="eastAsia"/>
              </w:rPr>
              <w:t>作者</w:t>
            </w:r>
          </w:p>
        </w:tc>
      </w:tr>
      <w:tr>
        <w:trPr>
          <w:trHeight w:val="741" w:hRule="atLeast"/>
        </w:trPr>
        <w:tc>
          <w:tcPr>
            <w:tcW w:w="1940" w:type="dxa"/>
            <w:vAlign w:val="center"/>
          </w:tcPr>
          <w:p>
            <w:pPr>
              <w:keepNext w:val="0"/>
              <w:keepLines w:val="0"/>
              <w:widowControl/>
              <w:suppressLineNumbers w:val="0"/>
              <w:jc w:val="left"/>
              <w:rPr>
                <w:rFonts w:hint="eastAsia" w:ascii="Songti SC Regular" w:hAnsi="Songti SC Regular" w:eastAsia="Songti SC Regular" w:cs="Songti SC Regular"/>
                <w:sz w:val="18"/>
                <w:szCs w:val="18"/>
              </w:rPr>
            </w:pPr>
            <w:bookmarkStart w:id="0" w:name="_GoBack" w:colFirst="0" w:colLast="4"/>
            <w:r>
              <w:rPr>
                <w:rFonts w:hint="eastAsia" w:ascii="Songti SC Regular" w:hAnsi="Songti SC Regular" w:eastAsia="Songti SC Regular" w:cs="Songti SC Regular"/>
                <w:color w:val="000000"/>
                <w:kern w:val="0"/>
                <w:sz w:val="18"/>
                <w:szCs w:val="18"/>
                <w:lang w:val="en-US" w:eastAsia="zh-CN" w:bidi="ar"/>
              </w:rPr>
              <w:t>High-Throughput Metabolomics Method for Discovering Metabolic Biomarkers andPathways to Reveal Effects and Molecular Mechanism of Ethanol Extract FromEpimediumAgainst</w:t>
            </w:r>
          </w:p>
          <w:p>
            <w:pPr>
              <w:keepNext w:val="0"/>
              <w:keepLines w:val="0"/>
              <w:widowControl/>
              <w:suppressLineNumbers w:val="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color w:val="000000"/>
                <w:kern w:val="0"/>
                <w:sz w:val="18"/>
                <w:szCs w:val="18"/>
                <w:lang w:val="en-US" w:eastAsia="zh-CN" w:bidi="ar"/>
              </w:rPr>
              <w:t>Osteoporosis</w:t>
            </w:r>
          </w:p>
        </w:tc>
        <w:tc>
          <w:tcPr>
            <w:tcW w:w="1945" w:type="dxa"/>
            <w:vAlign w:val="center"/>
          </w:tcPr>
          <w:p>
            <w:pPr>
              <w:pStyle w:val="9"/>
              <w:spacing w:line="192" w:lineRule="auto"/>
              <w:ind w:left="0" w:leftChars="0" w:right="0" w:rightChars="0" w:firstLine="0" w:firstLineChars="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color w:val="000000"/>
                <w:kern w:val="0"/>
                <w:sz w:val="18"/>
                <w:szCs w:val="18"/>
                <w:lang w:eastAsia="zh-CN" w:bidi="ar"/>
              </w:rPr>
              <w:t>frontiers in pharmacology,</w:t>
            </w:r>
          </w:p>
        </w:tc>
        <w:tc>
          <w:tcPr>
            <w:tcW w:w="1495"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color w:val="000000"/>
                <w:kern w:val="0"/>
                <w:sz w:val="18"/>
                <w:szCs w:val="18"/>
                <w:lang w:val="en-US" w:eastAsia="zh-CN" w:bidi="ar"/>
              </w:rPr>
              <w:t>2020</w:t>
            </w:r>
          </w:p>
        </w:tc>
        <w:tc>
          <w:tcPr>
            <w:tcW w:w="1574"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color w:val="000000"/>
                <w:kern w:val="0"/>
                <w:sz w:val="18"/>
                <w:szCs w:val="18"/>
                <w:lang w:val="en-US" w:eastAsia="zh-CN" w:bidi="ar"/>
              </w:rPr>
              <w:t xml:space="preserve">27 </w:t>
            </w:r>
            <w:r>
              <w:rPr>
                <w:rFonts w:hint="eastAsia" w:ascii="Songti SC Regular" w:hAnsi="Songti SC Regular" w:eastAsia="Songti SC Regular" w:cs="Songti SC Regular"/>
                <w:color w:val="000000"/>
                <w:kern w:val="0"/>
                <w:sz w:val="18"/>
                <w:szCs w:val="18"/>
                <w:lang w:eastAsia="zh-CN" w:bidi="ar"/>
              </w:rPr>
              <w:t>(</w:t>
            </w:r>
            <w:r>
              <w:rPr>
                <w:rFonts w:hint="eastAsia" w:ascii="Songti SC Regular" w:hAnsi="Songti SC Regular" w:eastAsia="Songti SC Regular" w:cs="Songti SC Regular"/>
                <w:color w:val="000000"/>
                <w:kern w:val="0"/>
                <w:sz w:val="18"/>
                <w:szCs w:val="18"/>
                <w:lang w:val="en-US" w:eastAsia="zh-CN" w:bidi="ar"/>
              </w:rPr>
              <w:t>11</w:t>
            </w:r>
            <w:r>
              <w:rPr>
                <w:rFonts w:hint="eastAsia" w:ascii="Songti SC Regular" w:hAnsi="Songti SC Regular" w:eastAsia="Songti SC Regular" w:cs="Songti SC Regular"/>
                <w:color w:val="000000"/>
                <w:kern w:val="0"/>
                <w:sz w:val="18"/>
                <w:szCs w:val="18"/>
                <w:lang w:eastAsia="zh-CN" w:bidi="ar"/>
              </w:rPr>
              <w:t>)</w:t>
            </w:r>
          </w:p>
        </w:tc>
        <w:tc>
          <w:tcPr>
            <w:tcW w:w="1469"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通讯作者</w:t>
            </w:r>
          </w:p>
        </w:tc>
      </w:tr>
      <w:tr>
        <w:trPr>
          <w:trHeight w:val="741" w:hRule="atLeast"/>
        </w:trPr>
        <w:tc>
          <w:tcPr>
            <w:tcW w:w="1940" w:type="dxa"/>
            <w:vAlign w:val="center"/>
          </w:tcPr>
          <w:p>
            <w:pPr>
              <w:pStyle w:val="9"/>
              <w:spacing w:line="192" w:lineRule="auto"/>
              <w:ind w:left="0" w:leftChars="0" w:right="0" w:rightChars="0" w:firstLine="0" w:firstLineChars="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Combined low-dose LiCl and LY294002 for the treatment of osteoporosis in ovariectomized rats</w:t>
            </w:r>
          </w:p>
        </w:tc>
        <w:tc>
          <w:tcPr>
            <w:tcW w:w="1945" w:type="dxa"/>
            <w:vAlign w:val="center"/>
          </w:tcPr>
          <w:p>
            <w:pPr>
              <w:pStyle w:val="9"/>
              <w:spacing w:line="192" w:lineRule="auto"/>
              <w:ind w:left="0" w:leftChars="0" w:right="0" w:rightChars="0" w:firstLine="0" w:firstLineChars="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Journal of Orthopaedic Surgery andResearch，</w:t>
            </w:r>
          </w:p>
        </w:tc>
        <w:tc>
          <w:tcPr>
            <w:tcW w:w="1495"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2019</w:t>
            </w:r>
          </w:p>
        </w:tc>
        <w:tc>
          <w:tcPr>
            <w:tcW w:w="1574"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177</w:t>
            </w:r>
            <w:r>
              <w:rPr>
                <w:rFonts w:hint="eastAsia" w:ascii="Songti SC Regular" w:hAnsi="Songti SC Regular" w:eastAsia="Songti SC Regular" w:cs="Songti SC Regular"/>
                <w:sz w:val="18"/>
                <w:szCs w:val="18"/>
                <w:rtl w:val="0"/>
              </w:rPr>
              <w:t>（</w:t>
            </w:r>
            <w:r>
              <w:rPr>
                <w:rFonts w:hint="eastAsia" w:ascii="Songti SC Regular" w:hAnsi="Songti SC Regular" w:eastAsia="Songti SC Regular" w:cs="Songti SC Regular"/>
                <w:sz w:val="18"/>
                <w:szCs w:val="18"/>
                <w:rtl w:val="0"/>
              </w:rPr>
              <w:t>14</w:t>
            </w:r>
            <w:r>
              <w:rPr>
                <w:rFonts w:hint="eastAsia" w:ascii="Songti SC Regular" w:hAnsi="Songti SC Regular" w:eastAsia="Songti SC Regular" w:cs="Songti SC Regular"/>
                <w:sz w:val="18"/>
                <w:szCs w:val="18"/>
                <w:rtl w:val="0"/>
              </w:rPr>
              <w:t>）</w:t>
            </w:r>
          </w:p>
        </w:tc>
        <w:tc>
          <w:tcPr>
            <w:tcW w:w="1469"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通讯作者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1" w:hRule="atLeast"/>
        </w:trPr>
        <w:tc>
          <w:tcPr>
            <w:tcW w:w="1940" w:type="dxa"/>
            <w:vAlign w:val="center"/>
          </w:tcPr>
          <w:p>
            <w:pPr>
              <w:pStyle w:val="9"/>
              <w:spacing w:line="192" w:lineRule="auto"/>
              <w:ind w:left="0" w:leftChars="0" w:right="0" w:rightChars="0" w:firstLine="0" w:firstLineChars="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MiR‐151a‐3p promotes postmenopausal osteoporosis by targeting SOCS5 and activating JAK2/STAT3 signaling</w:t>
            </w:r>
          </w:p>
        </w:tc>
        <w:tc>
          <w:tcPr>
            <w:tcW w:w="1945" w:type="dxa"/>
            <w:vAlign w:val="center"/>
          </w:tcPr>
          <w:p>
            <w:pPr>
              <w:pStyle w:val="9"/>
              <w:spacing w:line="192" w:lineRule="auto"/>
              <w:ind w:left="0" w:leftChars="0" w:right="0" w:rightChars="0" w:firstLine="0" w:firstLineChars="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Rejuvenation Research，</w:t>
            </w:r>
          </w:p>
        </w:tc>
        <w:tc>
          <w:tcPr>
            <w:tcW w:w="1495"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2019</w:t>
            </w:r>
          </w:p>
        </w:tc>
        <w:tc>
          <w:tcPr>
            <w:tcW w:w="1574"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2239</w:t>
            </w:r>
            <w:r>
              <w:rPr>
                <w:rFonts w:hint="eastAsia" w:ascii="Songti SC Regular" w:hAnsi="Songti SC Regular" w:eastAsia="Songti SC Regular" w:cs="Songti SC Regular"/>
                <w:sz w:val="18"/>
                <w:szCs w:val="18"/>
                <w:rtl w:val="0"/>
              </w:rPr>
              <w:t>，</w:t>
            </w:r>
            <w:r>
              <w:rPr>
                <w:rFonts w:hint="eastAsia" w:ascii="Songti SC Regular" w:hAnsi="Songti SC Regular" w:eastAsia="Songti SC Regular" w:cs="Songti SC Regular"/>
                <w:sz w:val="18"/>
                <w:szCs w:val="18"/>
                <w:rtl w:val="0"/>
              </w:rPr>
              <w:t>1-26</w:t>
            </w:r>
          </w:p>
        </w:tc>
        <w:tc>
          <w:tcPr>
            <w:tcW w:w="1469"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通讯作者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1" w:hRule="atLeast"/>
        </w:trPr>
        <w:tc>
          <w:tcPr>
            <w:tcW w:w="1940" w:type="dxa"/>
            <w:vAlign w:val="center"/>
          </w:tcPr>
          <w:p>
            <w:pPr>
              <w:pStyle w:val="9"/>
              <w:spacing w:line="192" w:lineRule="auto"/>
              <w:ind w:left="0" w:leftChars="0" w:right="0" w:rightChars="0" w:firstLine="0" w:firstLineChars="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lang w:val="en-US"/>
              </w:rPr>
              <w:t>Efficacy of Xixiancao (Herba Siegesbeckiae Orientalis) on interactions between nuclear factor kappa-B and inflammatory cytokines in inflammatory reactions of rat synovial cells induced by sodium uratey[J].</w:t>
            </w:r>
          </w:p>
        </w:tc>
        <w:tc>
          <w:tcPr>
            <w:tcW w:w="1945" w:type="dxa"/>
            <w:vAlign w:val="center"/>
          </w:tcPr>
          <w:p>
            <w:pPr>
              <w:pStyle w:val="9"/>
              <w:spacing w:line="192" w:lineRule="auto"/>
              <w:ind w:left="0" w:leftChars="0" w:right="0" w:rightChars="0" w:firstLine="0" w:firstLineChars="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lang w:val="en-US"/>
              </w:rPr>
              <w:t xml:space="preserve">Tradit Chin Med October </w:t>
            </w:r>
          </w:p>
        </w:tc>
        <w:tc>
          <w:tcPr>
            <w:tcW w:w="1495"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lang w:val="en-US"/>
              </w:rPr>
              <w:t xml:space="preserve"> 2020</w:t>
            </w:r>
          </w:p>
        </w:tc>
        <w:tc>
          <w:tcPr>
            <w:tcW w:w="1574"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lang w:val="en-US"/>
              </w:rPr>
              <w:t>40(5): 774-781</w:t>
            </w:r>
          </w:p>
        </w:tc>
        <w:tc>
          <w:tcPr>
            <w:tcW w:w="1469"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通讯作者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1" w:hRule="atLeast"/>
        </w:trPr>
        <w:tc>
          <w:tcPr>
            <w:tcW w:w="1940" w:type="dxa"/>
            <w:vAlign w:val="center"/>
          </w:tcPr>
          <w:p>
            <w:pPr>
              <w:pStyle w:val="9"/>
              <w:spacing w:line="192" w:lineRule="auto"/>
              <w:ind w:left="0" w:leftChars="0" w:right="0" w:rightChars="0" w:firstLine="0" w:firstLineChars="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Z-Guggulsterone arrenuates glucocorticoid-induced osteoporosis through activation of Nrf2/HO-1 signaling</w:t>
            </w:r>
          </w:p>
        </w:tc>
        <w:tc>
          <w:tcPr>
            <w:tcW w:w="1945" w:type="dxa"/>
            <w:vAlign w:val="center"/>
          </w:tcPr>
          <w:p>
            <w:pPr>
              <w:pStyle w:val="9"/>
              <w:spacing w:line="192" w:lineRule="auto"/>
              <w:ind w:left="0" w:leftChars="0" w:right="0" w:rightChars="0" w:firstLine="0" w:firstLineChars="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Life Sciences</w:t>
            </w:r>
          </w:p>
        </w:tc>
        <w:tc>
          <w:tcPr>
            <w:tcW w:w="1495"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 xml:space="preserve"> 2019</w:t>
            </w:r>
          </w:p>
        </w:tc>
        <w:tc>
          <w:tcPr>
            <w:tcW w:w="1574"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 xml:space="preserve"> 224</w:t>
            </w:r>
            <w:r>
              <w:rPr>
                <w:rFonts w:hint="eastAsia" w:ascii="Songti SC Regular" w:hAnsi="Songti SC Regular" w:eastAsia="Songti SC Regular" w:cs="Songti SC Regular"/>
                <w:sz w:val="18"/>
                <w:szCs w:val="18"/>
                <w:rtl w:val="0"/>
              </w:rPr>
              <w:t>，</w:t>
            </w:r>
            <w:r>
              <w:rPr>
                <w:rFonts w:hint="eastAsia" w:ascii="Songti SC Regular" w:hAnsi="Songti SC Regular" w:eastAsia="Songti SC Regular" w:cs="Songti SC Regular"/>
                <w:sz w:val="18"/>
                <w:szCs w:val="18"/>
                <w:rtl w:val="0"/>
              </w:rPr>
              <w:t>58–66</w:t>
            </w:r>
          </w:p>
        </w:tc>
        <w:tc>
          <w:tcPr>
            <w:tcW w:w="1469"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通讯作者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1" w:hRule="atLeast"/>
        </w:trPr>
        <w:tc>
          <w:tcPr>
            <w:tcW w:w="1940" w:type="dxa"/>
            <w:vAlign w:val="center"/>
          </w:tcPr>
          <w:p>
            <w:pPr>
              <w:pStyle w:val="9"/>
              <w:spacing w:line="192" w:lineRule="auto"/>
              <w:ind w:left="0" w:leftChars="0" w:right="0" w:rightChars="0" w:firstLine="0" w:firstLineChars="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High-throughput metabolomics investigates anti-osteoporosis activity of oleanolic acid via regulating metabolic networks using ultra-performance liquid chromatography coupled with mass spectrometry</w:t>
            </w:r>
          </w:p>
        </w:tc>
        <w:tc>
          <w:tcPr>
            <w:tcW w:w="1945" w:type="dxa"/>
            <w:vAlign w:val="center"/>
          </w:tcPr>
          <w:p>
            <w:pPr>
              <w:pStyle w:val="9"/>
              <w:spacing w:line="192" w:lineRule="auto"/>
              <w:ind w:left="0" w:leftChars="0" w:right="0" w:rightChars="0" w:firstLine="0" w:firstLineChars="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 xml:space="preserve">Phytomedicine </w:t>
            </w:r>
          </w:p>
        </w:tc>
        <w:tc>
          <w:tcPr>
            <w:tcW w:w="1495"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2018</w:t>
            </w:r>
          </w:p>
        </w:tc>
        <w:tc>
          <w:tcPr>
            <w:tcW w:w="1574"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tl w:val="0"/>
              </w:rPr>
              <w:t>51</w:t>
            </w:r>
            <w:r>
              <w:rPr>
                <w:rFonts w:hint="eastAsia" w:ascii="Songti SC Regular" w:hAnsi="Songti SC Regular" w:eastAsia="Songti SC Regular" w:cs="Songti SC Regular"/>
                <w:sz w:val="18"/>
                <w:szCs w:val="18"/>
                <w:rtl w:val="0"/>
              </w:rPr>
              <w:t>，</w:t>
            </w:r>
            <w:r>
              <w:rPr>
                <w:rFonts w:hint="eastAsia" w:ascii="Songti SC Regular" w:hAnsi="Songti SC Regular" w:eastAsia="Songti SC Regular" w:cs="Songti SC Regular"/>
                <w:sz w:val="18"/>
                <w:szCs w:val="18"/>
                <w:rtl w:val="0"/>
              </w:rPr>
              <w:t>68–76</w:t>
            </w:r>
          </w:p>
        </w:tc>
        <w:tc>
          <w:tcPr>
            <w:tcW w:w="1469"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通讯作者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1" w:hRule="atLeast"/>
        </w:trPr>
        <w:tc>
          <w:tcPr>
            <w:tcW w:w="1940" w:type="dxa"/>
            <w:vAlign w:val="top"/>
          </w:tcPr>
          <w:p>
            <w:pPr>
              <w:keepNext w:val="0"/>
              <w:keepLines w:val="0"/>
              <w:widowControl/>
              <w:suppressLineNumbers w:val="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color w:val="000000"/>
                <w:kern w:val="0"/>
                <w:sz w:val="18"/>
                <w:szCs w:val="18"/>
                <w:lang w:val="en-US" w:eastAsia="zh-CN" w:bidi="ar"/>
              </w:rPr>
              <w:t>Silencing of miR-483-5p alleviates postmenopausal osteoporosis by targeting SATB2 and</w:t>
            </w:r>
          </w:p>
          <w:p>
            <w:pPr>
              <w:keepNext w:val="0"/>
              <w:keepLines w:val="0"/>
              <w:widowControl/>
              <w:suppressLineNumbers w:val="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color w:val="000000"/>
                <w:kern w:val="0"/>
                <w:sz w:val="18"/>
                <w:szCs w:val="18"/>
                <w:lang w:val="en-US" w:eastAsia="zh-CN" w:bidi="ar"/>
              </w:rPr>
              <w:t>PI3K/AKT pathway</w:t>
            </w:r>
          </w:p>
        </w:tc>
        <w:tc>
          <w:tcPr>
            <w:tcW w:w="1945" w:type="dxa"/>
            <w:vAlign w:val="top"/>
          </w:tcPr>
          <w:p>
            <w:pPr>
              <w:spacing w:before="120" w:after="24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color w:val="000000"/>
                <w:kern w:val="0"/>
                <w:sz w:val="18"/>
                <w:szCs w:val="18"/>
                <w:lang w:val="en-US" w:eastAsia="zh-CN" w:bidi="ar"/>
              </w:rPr>
              <w:t xml:space="preserve">AGING-US MAR </w:t>
            </w:r>
          </w:p>
        </w:tc>
        <w:tc>
          <w:tcPr>
            <w:tcW w:w="1495"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color w:val="000000"/>
                <w:kern w:val="0"/>
                <w:sz w:val="18"/>
                <w:szCs w:val="18"/>
                <w:lang w:val="en-US" w:eastAsia="zh-CN" w:bidi="ar"/>
              </w:rPr>
              <w:t>2021</w:t>
            </w:r>
          </w:p>
        </w:tc>
        <w:tc>
          <w:tcPr>
            <w:tcW w:w="1574"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color w:val="000000"/>
                <w:kern w:val="0"/>
                <w:sz w:val="18"/>
                <w:szCs w:val="18"/>
                <w:lang w:val="en-US" w:eastAsia="zh-CN" w:bidi="ar"/>
              </w:rPr>
              <w:t xml:space="preserve">15 </w:t>
            </w:r>
            <w:r>
              <w:rPr>
                <w:rFonts w:hint="eastAsia" w:ascii="Songti SC Regular" w:hAnsi="Songti SC Regular" w:eastAsia="Songti SC Regular" w:cs="Songti SC Regular"/>
                <w:b/>
                <w:color w:val="000000"/>
                <w:kern w:val="0"/>
                <w:sz w:val="18"/>
                <w:szCs w:val="18"/>
                <w:lang w:eastAsia="zh-CN" w:bidi="ar"/>
              </w:rPr>
              <w:t>(</w:t>
            </w:r>
            <w:r>
              <w:rPr>
                <w:rFonts w:hint="eastAsia" w:ascii="Songti SC Regular" w:hAnsi="Songti SC Regular" w:eastAsia="Songti SC Regular" w:cs="Songti SC Regular"/>
                <w:color w:val="000000"/>
                <w:kern w:val="0"/>
                <w:sz w:val="18"/>
                <w:szCs w:val="18"/>
                <w:lang w:val="en-US" w:eastAsia="zh-CN" w:bidi="ar"/>
              </w:rPr>
              <w:t>13</w:t>
            </w:r>
            <w:r>
              <w:rPr>
                <w:rFonts w:hint="eastAsia" w:ascii="Songti SC Regular" w:hAnsi="Songti SC Regular" w:eastAsia="Songti SC Regular" w:cs="Songti SC Regular"/>
                <w:b/>
                <w:color w:val="000000"/>
                <w:kern w:val="0"/>
                <w:sz w:val="18"/>
                <w:szCs w:val="18"/>
                <w:lang w:eastAsia="zh-CN" w:bidi="ar"/>
              </w:rPr>
              <w:t>)</w:t>
            </w:r>
          </w:p>
        </w:tc>
        <w:tc>
          <w:tcPr>
            <w:tcW w:w="1469"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通讯作者</w:t>
            </w:r>
          </w:p>
        </w:tc>
      </w:tr>
      <w:tr>
        <w:trPr>
          <w:trHeight w:val="741" w:hRule="atLeast"/>
        </w:trPr>
        <w:tc>
          <w:tcPr>
            <w:tcW w:w="1940" w:type="dxa"/>
            <w:vAlign w:val="top"/>
          </w:tcPr>
          <w:p>
            <w:pPr>
              <w:keepNext w:val="0"/>
              <w:keepLines w:val="0"/>
              <w:widowControl/>
              <w:suppressLineNumbers w:val="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color w:val="000000"/>
                <w:kern w:val="0"/>
                <w:sz w:val="18"/>
                <w:szCs w:val="18"/>
                <w:lang w:val="en-US" w:eastAsia="zh-CN" w:bidi="ar"/>
              </w:rPr>
              <w:t>The effects of teriparatide and bisphosphonates on new fractures in postmenopausal</w:t>
            </w:r>
          </w:p>
          <w:p>
            <w:pPr>
              <w:keepNext w:val="0"/>
              <w:keepLines w:val="0"/>
              <w:widowControl/>
              <w:suppressLineNumbers w:val="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color w:val="000000"/>
                <w:kern w:val="0"/>
                <w:sz w:val="18"/>
                <w:szCs w:val="18"/>
                <w:lang w:val="en-US" w:eastAsia="zh-CN" w:bidi="ar"/>
              </w:rPr>
              <w:t>women with osteoporosis A protocol for systematic review and meta-analysis</w:t>
            </w:r>
          </w:p>
          <w:p>
            <w:pPr>
              <w:spacing w:before="120" w:after="240"/>
              <w:jc w:val="left"/>
              <w:rPr>
                <w:rFonts w:hint="eastAsia" w:ascii="Songti SC Regular" w:hAnsi="Songti SC Regular" w:eastAsia="Songti SC Regular" w:cs="Songti SC Regular"/>
                <w:sz w:val="18"/>
                <w:szCs w:val="18"/>
              </w:rPr>
            </w:pPr>
          </w:p>
        </w:tc>
        <w:tc>
          <w:tcPr>
            <w:tcW w:w="1945" w:type="dxa"/>
            <w:vAlign w:val="top"/>
          </w:tcPr>
          <w:p>
            <w:pPr>
              <w:keepNext w:val="0"/>
              <w:keepLines w:val="0"/>
              <w:widowControl/>
              <w:suppressLineNumbers w:val="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color w:val="000000"/>
                <w:kern w:val="0"/>
                <w:sz w:val="18"/>
                <w:szCs w:val="18"/>
                <w:lang w:val="en-US" w:eastAsia="zh-CN" w:bidi="ar"/>
              </w:rPr>
              <w:t xml:space="preserve">MEDICINE  FEB </w:t>
            </w:r>
          </w:p>
          <w:p>
            <w:pPr>
              <w:spacing w:before="120" w:after="240"/>
              <w:jc w:val="left"/>
              <w:rPr>
                <w:rFonts w:hint="eastAsia" w:ascii="Songti SC Regular" w:hAnsi="Songti SC Regular" w:eastAsia="Songti SC Regular" w:cs="Songti SC Regular"/>
                <w:sz w:val="18"/>
                <w:szCs w:val="18"/>
              </w:rPr>
            </w:pPr>
          </w:p>
        </w:tc>
        <w:tc>
          <w:tcPr>
            <w:tcW w:w="1495" w:type="dxa"/>
          </w:tcPr>
          <w:p>
            <w:pPr>
              <w:keepNext w:val="0"/>
              <w:keepLines w:val="0"/>
              <w:widowControl/>
              <w:suppressLineNumbers w:val="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color w:val="000000"/>
                <w:kern w:val="0"/>
                <w:sz w:val="18"/>
                <w:szCs w:val="18"/>
                <w:lang w:val="en-US" w:eastAsia="zh-CN" w:bidi="ar"/>
              </w:rPr>
              <w:t>2021</w:t>
            </w:r>
          </w:p>
          <w:p>
            <w:pPr>
              <w:rPr>
                <w:rFonts w:hint="eastAsia" w:ascii="Songti SC Regular" w:hAnsi="Songti SC Regular" w:eastAsia="Songti SC Regular" w:cs="Songti SC Regular"/>
                <w:sz w:val="18"/>
                <w:szCs w:val="18"/>
              </w:rPr>
            </w:pPr>
          </w:p>
        </w:tc>
        <w:tc>
          <w:tcPr>
            <w:tcW w:w="1574" w:type="dxa"/>
          </w:tcPr>
          <w:p>
            <w:pPr>
              <w:keepNext w:val="0"/>
              <w:keepLines w:val="0"/>
              <w:widowControl/>
              <w:suppressLineNumbers w:val="0"/>
              <w:jc w:val="left"/>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color w:val="000000"/>
                <w:kern w:val="0"/>
                <w:sz w:val="18"/>
                <w:szCs w:val="18"/>
                <w:lang w:val="en-US" w:eastAsia="zh-CN" w:bidi="ar"/>
              </w:rPr>
              <w:t>19</w:t>
            </w:r>
            <w:r>
              <w:rPr>
                <w:rFonts w:hint="eastAsia" w:ascii="Songti SC Regular" w:hAnsi="Songti SC Regular" w:eastAsia="Songti SC Regular" w:cs="Songti SC Regular"/>
                <w:b/>
                <w:color w:val="000000"/>
                <w:kern w:val="0"/>
                <w:sz w:val="18"/>
                <w:szCs w:val="18"/>
                <w:lang w:eastAsia="zh-CN" w:bidi="ar"/>
              </w:rPr>
              <w:t>（</w:t>
            </w:r>
            <w:r>
              <w:rPr>
                <w:rFonts w:hint="eastAsia" w:ascii="Songti SC Regular" w:hAnsi="Songti SC Regular" w:eastAsia="Songti SC Regular" w:cs="Songti SC Regular"/>
                <w:color w:val="000000"/>
                <w:kern w:val="0"/>
                <w:sz w:val="18"/>
                <w:szCs w:val="18"/>
                <w:lang w:val="en-US" w:eastAsia="zh-CN" w:bidi="ar"/>
              </w:rPr>
              <w:t>7</w:t>
            </w:r>
            <w:r>
              <w:rPr>
                <w:rFonts w:hint="eastAsia" w:ascii="Songti SC Regular" w:hAnsi="Songti SC Regular" w:eastAsia="Songti SC Regular" w:cs="Songti SC Regular"/>
                <w:color w:val="000000"/>
                <w:kern w:val="0"/>
                <w:sz w:val="18"/>
                <w:szCs w:val="18"/>
                <w:lang w:eastAsia="zh-CN" w:bidi="ar"/>
              </w:rPr>
              <w:t>）</w:t>
            </w:r>
          </w:p>
          <w:p>
            <w:pPr>
              <w:rPr>
                <w:rFonts w:hint="eastAsia" w:ascii="Songti SC Regular" w:hAnsi="Songti SC Regular" w:eastAsia="Songti SC Regular" w:cs="Songti SC Regular"/>
                <w:sz w:val="18"/>
                <w:szCs w:val="18"/>
              </w:rPr>
            </w:pPr>
          </w:p>
        </w:tc>
        <w:tc>
          <w:tcPr>
            <w:tcW w:w="1469"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通讯作者</w:t>
            </w:r>
          </w:p>
        </w:tc>
      </w:tr>
      <w:tr>
        <w:trPr>
          <w:trHeight w:val="741" w:hRule="atLeast"/>
        </w:trPr>
        <w:tc>
          <w:tcPr>
            <w:tcW w:w="1940" w:type="dxa"/>
            <w:vAlign w:val="top"/>
          </w:tcPr>
          <w:p>
            <w:pPr>
              <w:spacing w:before="120" w:after="240"/>
              <w:jc w:val="left"/>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Hans" w:eastAsia="zh-Hans"/>
              </w:rPr>
              <w:t>基于雌激素受体研究氯化锂干预成骨细胞的分化及自噬</w:t>
            </w:r>
          </w:p>
        </w:tc>
        <w:tc>
          <w:tcPr>
            <w:tcW w:w="1945" w:type="dxa"/>
            <w:vAlign w:val="top"/>
          </w:tcPr>
          <w:p>
            <w:pPr>
              <w:spacing w:before="120" w:after="240"/>
              <w:jc w:val="left"/>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中国组织工程研究，</w:t>
            </w:r>
          </w:p>
        </w:tc>
        <w:tc>
          <w:tcPr>
            <w:tcW w:w="1495" w:type="dxa"/>
          </w:tcPr>
          <w:p>
            <w:pPr>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2019</w:t>
            </w:r>
          </w:p>
        </w:tc>
        <w:tc>
          <w:tcPr>
            <w:tcW w:w="1574" w:type="dxa"/>
          </w:tcPr>
          <w:p>
            <w:pPr>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23（5）680-684</w:t>
            </w:r>
          </w:p>
        </w:tc>
        <w:tc>
          <w:tcPr>
            <w:tcW w:w="1469"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通讯作者</w:t>
            </w:r>
          </w:p>
        </w:tc>
      </w:tr>
      <w:tr>
        <w:trPr>
          <w:trHeight w:val="741" w:hRule="atLeast"/>
        </w:trPr>
        <w:tc>
          <w:tcPr>
            <w:tcW w:w="1940" w:type="dxa"/>
            <w:vAlign w:val="top"/>
          </w:tcPr>
          <w:p>
            <w:pPr>
              <w:spacing w:before="120" w:after="240"/>
              <w:jc w:val="left"/>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基于雌激素受体抑制下氯化锂对成骨细胞AKT-MTOR通路的影响</w:t>
            </w:r>
          </w:p>
        </w:tc>
        <w:tc>
          <w:tcPr>
            <w:tcW w:w="1945" w:type="dxa"/>
            <w:vAlign w:val="top"/>
          </w:tcPr>
          <w:p>
            <w:pPr>
              <w:pStyle w:val="11"/>
              <w:jc w:val="left"/>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中国组织工程研究，</w:t>
            </w:r>
          </w:p>
          <w:p>
            <w:pPr>
              <w:spacing w:before="120" w:after="240"/>
              <w:jc w:val="left"/>
              <w:rPr>
                <w:rFonts w:hint="eastAsia" w:ascii="Songti SC Regular" w:hAnsi="Songti SC Regular" w:eastAsia="Songti SC Regular" w:cs="Songti SC Regular"/>
                <w:sz w:val="18"/>
                <w:szCs w:val="18"/>
              </w:rPr>
            </w:pPr>
          </w:p>
        </w:tc>
        <w:tc>
          <w:tcPr>
            <w:tcW w:w="1495" w:type="dxa"/>
          </w:tcPr>
          <w:p>
            <w:pPr>
              <w:pStyle w:val="11"/>
              <w:jc w:val="left"/>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2019</w:t>
            </w:r>
          </w:p>
          <w:p>
            <w:pPr>
              <w:rPr>
                <w:rFonts w:hint="eastAsia" w:ascii="Songti SC Regular" w:hAnsi="Songti SC Regular" w:eastAsia="Songti SC Regular" w:cs="Songti SC Regular"/>
                <w:sz w:val="18"/>
                <w:szCs w:val="18"/>
              </w:rPr>
            </w:pPr>
          </w:p>
        </w:tc>
        <w:tc>
          <w:tcPr>
            <w:tcW w:w="1574" w:type="dxa"/>
          </w:tcPr>
          <w:p>
            <w:pPr>
              <w:pStyle w:val="11"/>
              <w:jc w:val="left"/>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23（19）3002-3006</w:t>
            </w:r>
          </w:p>
          <w:p>
            <w:pPr>
              <w:rPr>
                <w:rFonts w:hint="eastAsia" w:ascii="Songti SC Regular" w:hAnsi="Songti SC Regular" w:eastAsia="Songti SC Regular" w:cs="Songti SC Regular"/>
                <w:sz w:val="18"/>
                <w:szCs w:val="18"/>
              </w:rPr>
            </w:pPr>
          </w:p>
        </w:tc>
        <w:tc>
          <w:tcPr>
            <w:tcW w:w="1469"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通讯作者</w:t>
            </w:r>
          </w:p>
        </w:tc>
      </w:tr>
      <w:tr>
        <w:trPr>
          <w:trHeight w:val="741" w:hRule="atLeast"/>
        </w:trPr>
        <w:tc>
          <w:tcPr>
            <w:tcW w:w="1940" w:type="dxa"/>
            <w:vAlign w:val="top"/>
          </w:tcPr>
          <w:p>
            <w:pPr>
              <w:spacing w:before="120" w:after="240"/>
              <w:jc w:val="left"/>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氯化锂促进骨髓间充质干细胞增殖分化的作用途径</w:t>
            </w:r>
          </w:p>
        </w:tc>
        <w:tc>
          <w:tcPr>
            <w:tcW w:w="1945" w:type="dxa"/>
            <w:vAlign w:val="top"/>
          </w:tcPr>
          <w:p>
            <w:pPr>
              <w:spacing w:before="120" w:after="240"/>
              <w:jc w:val="left"/>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中国组织工程研究，</w:t>
            </w:r>
          </w:p>
        </w:tc>
        <w:tc>
          <w:tcPr>
            <w:tcW w:w="1495" w:type="dxa"/>
          </w:tcPr>
          <w:p>
            <w:pPr>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2019</w:t>
            </w:r>
          </w:p>
        </w:tc>
        <w:tc>
          <w:tcPr>
            <w:tcW w:w="1574" w:type="dxa"/>
          </w:tcPr>
          <w:p>
            <w:pPr>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23(25):3956-3960</w:t>
            </w:r>
          </w:p>
        </w:tc>
        <w:tc>
          <w:tcPr>
            <w:tcW w:w="1469"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通讯作者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1" w:hRule="atLeast"/>
        </w:trPr>
        <w:tc>
          <w:tcPr>
            <w:tcW w:w="1940" w:type="dxa"/>
            <w:vAlign w:val="top"/>
          </w:tcPr>
          <w:p>
            <w:pPr>
              <w:spacing w:before="120" w:after="240"/>
              <w:jc w:val="left"/>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氯化锂联合淫羊藿苷对成骨细胞增殖分化的影响中国组织工程研究</w:t>
            </w:r>
          </w:p>
        </w:tc>
        <w:tc>
          <w:tcPr>
            <w:tcW w:w="1945" w:type="dxa"/>
            <w:vAlign w:val="top"/>
          </w:tcPr>
          <w:p>
            <w:pPr>
              <w:pStyle w:val="11"/>
              <w:jc w:val="left"/>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中国骨质疏松杂志，</w:t>
            </w:r>
          </w:p>
          <w:p>
            <w:pPr>
              <w:spacing w:before="120" w:after="240"/>
              <w:jc w:val="left"/>
              <w:rPr>
                <w:rFonts w:hint="eastAsia" w:ascii="Songti SC Regular" w:hAnsi="Songti SC Regular" w:eastAsia="Songti SC Regular" w:cs="Songti SC Regular"/>
                <w:sz w:val="18"/>
                <w:szCs w:val="18"/>
              </w:rPr>
            </w:pPr>
          </w:p>
        </w:tc>
        <w:tc>
          <w:tcPr>
            <w:tcW w:w="1495" w:type="dxa"/>
          </w:tcPr>
          <w:p>
            <w:pPr>
              <w:pStyle w:val="11"/>
              <w:jc w:val="left"/>
              <w:rPr>
                <w:rFonts w:hint="eastAsia" w:ascii="Songti SC Regular" w:hAnsi="Songti SC Regular" w:eastAsia="Songti SC Regular" w:cs="Songti SC Regular"/>
                <w:sz w:val="18"/>
                <w:szCs w:val="18"/>
                <w:lang w:val="en-US"/>
              </w:rPr>
            </w:pPr>
            <w:r>
              <w:rPr>
                <w:rStyle w:val="10"/>
                <w:rFonts w:hint="eastAsia" w:ascii="Songti SC Regular" w:hAnsi="Songti SC Regular" w:eastAsia="Songti SC Regular" w:cs="Songti SC Regular"/>
                <w:sz w:val="18"/>
                <w:szCs w:val="18"/>
                <w:rtl w:val="0"/>
                <w:lang w:val="zh-CN" w:eastAsia="zh-CN"/>
              </w:rPr>
              <w:t>2019</w:t>
            </w:r>
            <w:r>
              <w:rPr>
                <w:rStyle w:val="10"/>
                <w:rFonts w:hint="eastAsia" w:ascii="Songti SC Regular" w:hAnsi="Songti SC Regular" w:eastAsia="Songti SC Regular" w:cs="Songti SC Regular"/>
                <w:sz w:val="18"/>
                <w:szCs w:val="18"/>
                <w:rtl w:val="0"/>
                <w:lang w:eastAsia="zh-CN"/>
              </w:rPr>
              <w:t xml:space="preserve"> </w:t>
            </w:r>
          </w:p>
          <w:p>
            <w:pPr>
              <w:rPr>
                <w:rFonts w:hint="eastAsia" w:ascii="Songti SC Regular" w:hAnsi="Songti SC Regular" w:eastAsia="Songti SC Regular" w:cs="Songti SC Regular"/>
                <w:sz w:val="18"/>
                <w:szCs w:val="18"/>
              </w:rPr>
            </w:pPr>
          </w:p>
        </w:tc>
        <w:tc>
          <w:tcPr>
            <w:tcW w:w="1574" w:type="dxa"/>
          </w:tcPr>
          <w:p>
            <w:pPr>
              <w:pStyle w:val="11"/>
              <w:jc w:val="left"/>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25.（5）1221-1225</w:t>
            </w:r>
          </w:p>
          <w:p>
            <w:pPr>
              <w:rPr>
                <w:rFonts w:hint="eastAsia" w:ascii="Songti SC Regular" w:hAnsi="Songti SC Regular" w:eastAsia="Songti SC Regular" w:cs="Songti SC Regular"/>
                <w:sz w:val="18"/>
                <w:szCs w:val="18"/>
              </w:rPr>
            </w:pPr>
          </w:p>
        </w:tc>
        <w:tc>
          <w:tcPr>
            <w:tcW w:w="1469"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通讯作者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1" w:hRule="atLeast"/>
        </w:trPr>
        <w:tc>
          <w:tcPr>
            <w:tcW w:w="1940" w:type="dxa"/>
            <w:vAlign w:val="top"/>
          </w:tcPr>
          <w:p>
            <w:pPr>
              <w:spacing w:before="120" w:after="240"/>
              <w:jc w:val="left"/>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基于Nrf2/HO-1信号通路探讨豨莶草对尿酸钠诱导的滑膜细胞作用机制</w:t>
            </w:r>
          </w:p>
        </w:tc>
        <w:tc>
          <w:tcPr>
            <w:tcW w:w="1945" w:type="dxa"/>
            <w:vAlign w:val="top"/>
          </w:tcPr>
          <w:p>
            <w:pPr>
              <w:spacing w:before="120" w:after="240"/>
              <w:jc w:val="left"/>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中医药学报，</w:t>
            </w:r>
          </w:p>
        </w:tc>
        <w:tc>
          <w:tcPr>
            <w:tcW w:w="1495" w:type="dxa"/>
          </w:tcPr>
          <w:p>
            <w:pPr>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2018</w:t>
            </w:r>
          </w:p>
        </w:tc>
        <w:tc>
          <w:tcPr>
            <w:tcW w:w="1574" w:type="dxa"/>
          </w:tcPr>
          <w:p>
            <w:pPr>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44（1）44-47</w:t>
            </w:r>
          </w:p>
        </w:tc>
        <w:tc>
          <w:tcPr>
            <w:tcW w:w="1469"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通讯作者</w:t>
            </w:r>
          </w:p>
        </w:tc>
      </w:tr>
      <w:tr>
        <w:trPr>
          <w:trHeight w:val="741" w:hRule="atLeast"/>
        </w:trPr>
        <w:tc>
          <w:tcPr>
            <w:tcW w:w="1940" w:type="dxa"/>
            <w:vAlign w:val="top"/>
          </w:tcPr>
          <w:p>
            <w:pPr>
              <w:spacing w:before="120" w:after="240"/>
              <w:jc w:val="left"/>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豨莶草水提取物对痛风性关节炎大鼠JNK信号通路影响</w:t>
            </w:r>
          </w:p>
        </w:tc>
        <w:tc>
          <w:tcPr>
            <w:tcW w:w="1945" w:type="dxa"/>
            <w:vAlign w:val="top"/>
          </w:tcPr>
          <w:p>
            <w:pPr>
              <w:pStyle w:val="11"/>
              <w:jc w:val="left"/>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中国组织工程研究</w:t>
            </w:r>
          </w:p>
          <w:p>
            <w:pPr>
              <w:spacing w:before="120" w:after="240"/>
              <w:jc w:val="left"/>
              <w:rPr>
                <w:rFonts w:hint="eastAsia" w:ascii="Songti SC Regular" w:hAnsi="Songti SC Regular" w:eastAsia="Songti SC Regular" w:cs="Songti SC Regular"/>
                <w:sz w:val="18"/>
                <w:szCs w:val="18"/>
              </w:rPr>
            </w:pPr>
          </w:p>
        </w:tc>
        <w:tc>
          <w:tcPr>
            <w:tcW w:w="1495" w:type="dxa"/>
          </w:tcPr>
          <w:p>
            <w:pPr>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2018.</w:t>
            </w:r>
          </w:p>
        </w:tc>
        <w:tc>
          <w:tcPr>
            <w:tcW w:w="1574" w:type="dxa"/>
          </w:tcPr>
          <w:p>
            <w:pPr>
              <w:rPr>
                <w:rStyle w:val="10"/>
                <w:rFonts w:hint="eastAsia" w:ascii="Songti SC Regular" w:hAnsi="Songti SC Regular" w:eastAsia="Songti SC Regular" w:cs="Songti SC Regular"/>
                <w:sz w:val="18"/>
                <w:szCs w:val="18"/>
                <w:rtl w:val="0"/>
                <w:lang w:val="zh-CN" w:eastAsia="zh-CN"/>
              </w:rPr>
            </w:pPr>
            <w:r>
              <w:rPr>
                <w:rStyle w:val="10"/>
                <w:rFonts w:hint="eastAsia" w:ascii="Songti SC Regular" w:hAnsi="Songti SC Regular" w:eastAsia="Songti SC Regular" w:cs="Songti SC Regular"/>
                <w:sz w:val="18"/>
                <w:szCs w:val="18"/>
                <w:rtl w:val="0"/>
                <w:lang w:val="zh-CN" w:eastAsia="zh-CN"/>
              </w:rPr>
              <w:t>22（36）</w:t>
            </w:r>
          </w:p>
          <w:p>
            <w:pPr>
              <w:rPr>
                <w:rFonts w:hint="eastAsia" w:ascii="Songti SC Regular" w:hAnsi="Songti SC Regular" w:eastAsia="Songti SC Regular" w:cs="Songti SC Regular"/>
                <w:sz w:val="18"/>
                <w:szCs w:val="18"/>
              </w:rPr>
            </w:pPr>
            <w:r>
              <w:rPr>
                <w:rStyle w:val="10"/>
                <w:rFonts w:hint="eastAsia" w:ascii="Songti SC Regular" w:hAnsi="Songti SC Regular" w:eastAsia="Songti SC Regular" w:cs="Songti SC Regular"/>
                <w:sz w:val="18"/>
                <w:szCs w:val="18"/>
                <w:rtl w:val="0"/>
                <w:lang w:val="zh-CN" w:eastAsia="zh-CN"/>
              </w:rPr>
              <w:t>5816-5821</w:t>
            </w:r>
          </w:p>
        </w:tc>
        <w:tc>
          <w:tcPr>
            <w:tcW w:w="1469" w:type="dxa"/>
          </w:tcPr>
          <w:p>
            <w:pPr>
              <w:rPr>
                <w:rFonts w:hint="eastAsia" w:ascii="Songti SC Regular" w:hAnsi="Songti SC Regular" w:eastAsia="Songti SC Regular" w:cs="Songti SC Regular"/>
                <w:sz w:val="18"/>
                <w:szCs w:val="18"/>
              </w:rPr>
            </w:pPr>
            <w:r>
              <w:rPr>
                <w:rFonts w:hint="eastAsia" w:ascii="Songti SC Regular" w:hAnsi="Songti SC Regular" w:eastAsia="Songti SC Regular" w:cs="Songti SC Regular"/>
                <w:sz w:val="18"/>
                <w:szCs w:val="18"/>
              </w:rPr>
              <w:t>通讯作者</w:t>
            </w:r>
          </w:p>
        </w:tc>
      </w:tr>
      <w:bookmarkEnd w:id="0"/>
      <w:tr>
        <w:trPr>
          <w:trHeight w:val="741" w:hRule="atLeast"/>
        </w:trPr>
        <w:tc>
          <w:tcPr>
            <w:tcW w:w="1940" w:type="dxa"/>
          </w:tcPr>
          <w:p/>
        </w:tc>
        <w:tc>
          <w:tcPr>
            <w:tcW w:w="1945" w:type="dxa"/>
          </w:tcPr>
          <w:p/>
        </w:tc>
        <w:tc>
          <w:tcPr>
            <w:tcW w:w="1495" w:type="dxa"/>
          </w:tcPr>
          <w:p/>
        </w:tc>
        <w:tc>
          <w:tcPr>
            <w:tcW w:w="1574" w:type="dxa"/>
          </w:tcPr>
          <w:p/>
        </w:tc>
        <w:tc>
          <w:tcPr>
            <w:tcW w:w="1469" w:type="dxa"/>
          </w:tcPr>
          <w:p>
            <w:pPr>
              <w:rPr>
                <w:rFonts w:hint="eastAsia"/>
              </w:rPr>
            </w:pPr>
          </w:p>
        </w:tc>
      </w:tr>
      <w:tr>
        <w:trPr>
          <w:trHeight w:val="741" w:hRule="atLeast"/>
        </w:trPr>
        <w:tc>
          <w:tcPr>
            <w:tcW w:w="1940" w:type="dxa"/>
          </w:tcPr>
          <w:p/>
        </w:tc>
        <w:tc>
          <w:tcPr>
            <w:tcW w:w="1945" w:type="dxa"/>
          </w:tcPr>
          <w:p/>
        </w:tc>
        <w:tc>
          <w:tcPr>
            <w:tcW w:w="1495" w:type="dxa"/>
          </w:tcPr>
          <w:p/>
        </w:tc>
        <w:tc>
          <w:tcPr>
            <w:tcW w:w="1574" w:type="dxa"/>
          </w:tcPr>
          <w:p/>
        </w:tc>
        <w:tc>
          <w:tcPr>
            <w:tcW w:w="1469" w:type="dxa"/>
          </w:tcPr>
          <w:p>
            <w:pPr>
              <w:rPr>
                <w:rFonts w:hint="eastAsia"/>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songti sc">
    <w:panose1 w:val="02010800040101010101"/>
    <w:charset w:val="86"/>
    <w:family w:val="auto"/>
    <w:pitch w:val="default"/>
    <w:sig w:usb0="00000001" w:usb1="080F0000" w:usb2="00000000" w:usb3="00000000" w:csb0="00040000" w:csb1="00000000"/>
  </w:font>
  <w:font w:name="times">
    <w:altName w:val="苹方-简"/>
    <w:panose1 w:val="00000000000000000000"/>
    <w:charset w:val="00"/>
    <w:family w:val="auto"/>
    <w:pitch w:val="default"/>
    <w:sig w:usb0="00000000" w:usb1="00000000" w:usb2="00000000" w:usb3="00000000" w:csb0="00000000" w:csb1="00000000"/>
  </w:font>
  <w:font w:name="儷黑 Pro">
    <w:panose1 w:val="020B0500000000000000"/>
    <w:charset w:val="88"/>
    <w:family w:val="auto"/>
    <w:pitch w:val="default"/>
    <w:sig w:usb0="80000001" w:usb1="28091800" w:usb2="00000016" w:usb3="00000000" w:csb0="00100000" w:csb1="00000000"/>
  </w:font>
  <w:font w:name="宋体-简">
    <w:panose1 w:val="02010800040101010101"/>
    <w:charset w:val="86"/>
    <w:family w:val="auto"/>
    <w:pitch w:val="default"/>
    <w:sig w:usb0="00000001" w:usb1="080F0000" w:usb2="00000000" w:usb3="00000000" w:csb0="00040000" w:csb1="00000000"/>
  </w:font>
  <w:font w:name="儷宋 Pro">
    <w:panose1 w:val="02020300000000000000"/>
    <w:charset w:val="88"/>
    <w:family w:val="auto"/>
    <w:pitch w:val="default"/>
    <w:sig w:usb0="80000001" w:usb1="28091800" w:usb2="00000016" w:usb3="00000000" w:csb0="00100000" w:csb1="00000000"/>
  </w:font>
  <w:font w:name="Lantinghei SC Extralight">
    <w:panose1 w:val="02000000000000000000"/>
    <w:charset w:val="86"/>
    <w:family w:val="auto"/>
    <w:pitch w:val="default"/>
    <w:sig w:usb0="00000001" w:usb1="08000000" w:usb2="00000000" w:usb3="00000000" w:csb0="00040000" w:csb1="00000000"/>
  </w:font>
  <w:font w:name="Lantinghei TC Extralight">
    <w:panose1 w:val="03000509000000000000"/>
    <w:charset w:val="88"/>
    <w:family w:val="auto"/>
    <w:pitch w:val="default"/>
    <w:sig w:usb0="00000001" w:usb1="080E0000" w:usb2="00000000" w:usb3="00000000" w:csb0="00100000" w:csb1="00000000"/>
  </w:font>
  <w:font w:name="STHeiti Light">
    <w:panose1 w:val="02010600040101010101"/>
    <w:charset w:val="86"/>
    <w:family w:val="auto"/>
    <w:pitch w:val="default"/>
    <w:sig w:usb0="00000287" w:usb1="080F0000" w:usb2="00000000" w:usb3="00000000" w:csb0="00040001" w:csb1="00000000"/>
  </w:font>
  <w:font w:name="Songti SC Regular">
    <w:panose1 w:val="02010800040101010101"/>
    <w:charset w:val="86"/>
    <w:family w:val="auto"/>
    <w:pitch w:val="default"/>
    <w:sig w:usb0="00000001" w:usb1="080F0000" w:usb2="00000000" w:usb3="00000000" w:csb0="00040000" w:csb1="00000000"/>
  </w:font>
  <w:font w:name="Helvetica">
    <w:panose1 w:val="00000000000000000000"/>
    <w:charset w:val="00"/>
    <w:family w:val="roman"/>
    <w:pitch w:val="default"/>
    <w:sig w:usb0="E00002FF" w:usb1="5000785B" w:usb2="00000000" w:usb3="00000000" w:csb0="2000019F" w:csb1="4F010000"/>
  </w:font>
  <w:font w:name="楷体_GB2312">
    <w:altName w:val="汉仪楷体简"/>
    <w:panose1 w:val="02010609030101010101"/>
    <w:charset w:val="00"/>
    <w:family w:val="modern"/>
    <w:pitch w:val="default"/>
    <w:sig w:usb0="00000000" w:usb1="00000000" w:usb2="00000000" w:usb3="00000000" w:csb0="00040000" w:csb1="00000000"/>
  </w:font>
  <w:font w:name="楷体">
    <w:altName w:val="汉仪楷体KW"/>
    <w:panose1 w:val="02010609060101010101"/>
    <w:charset w:val="00"/>
    <w:family w:val="modern"/>
    <w:pitch w:val="default"/>
    <w:sig w:usb0="00000000" w:usb1="00000000" w:usb2="00000016" w:usb3="00000000" w:csb0="00040001" w:csb1="00000000"/>
  </w:font>
  <w:font w:name="Wingdings 2">
    <w:panose1 w:val="05020102010507070707"/>
    <w:charset w:val="00"/>
    <w:family w:val="auto"/>
    <w:pitch w:val="default"/>
    <w:sig w:usb0="00000000" w:usb1="00000000" w:usb2="00000000" w:usb3="00000000" w:csb0="80000000" w:csb1="00000000"/>
  </w:font>
  <w:font w:name="汉仪楷体简">
    <w:panose1 w:val="02010600000101010101"/>
    <w:charset w:val="86"/>
    <w:family w:val="auto"/>
    <w:pitch w:val="default"/>
    <w:sig w:usb0="00000001" w:usb1="080E0800" w:usb2="00000002" w:usb3="00000000" w:csb0="00040000" w:csb1="00000000"/>
  </w:font>
  <w:font w:name="汉仪楷体KW">
    <w:panose1 w:val="00020600040101010101"/>
    <w:charset w:val="86"/>
    <w:family w:val="auto"/>
    <w:pitch w:val="default"/>
    <w:sig w:usb0="A00002BF" w:usb1="18EF7CFA" w:usb2="00000016" w:usb3="00000000" w:csb0="00040000" w:csb1="00000000"/>
  </w:font>
  <w:font w:name="报隶-简">
    <w:panose1 w:val="02010600040101010101"/>
    <w:charset w:val="86"/>
    <w:family w:val="auto"/>
    <w:pitch w:val="default"/>
    <w:sig w:usb0="80000287" w:usb1="280F3C52" w:usb2="00000016" w:usb3="00000000" w:csb0="0004001F" w:csb1="00000000"/>
  </w:font>
  <w:font w:name="Courier New Regular">
    <w:panose1 w:val="02070409020205090404"/>
    <w:charset w:val="00"/>
    <w:family w:val="auto"/>
    <w:pitch w:val="default"/>
    <w:sig w:usb0="E0000AFF" w:usb1="40007843" w:usb2="00000001" w:usb3="00000000" w:csb0="400001BF" w:csb1="DFF70000"/>
  </w:font>
  <w:font w:name="Times New Roman Regular">
    <w:panose1 w:val="02020503050405090304"/>
    <w:charset w:val="00"/>
    <w:family w:val="auto"/>
    <w:pitch w:val="default"/>
    <w:sig w:usb0="E0000AFF" w:usb1="00007843"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F79"/>
    <w:rsid w:val="00190B39"/>
    <w:rsid w:val="001F4F79"/>
    <w:rsid w:val="001F6504"/>
    <w:rsid w:val="008009CB"/>
    <w:rsid w:val="00815A64"/>
    <w:rsid w:val="00A27819"/>
    <w:rsid w:val="00B85FF3"/>
    <w:rsid w:val="E7E7B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s1"/>
    <w:basedOn w:val="2"/>
    <w:uiPriority w:val="0"/>
    <w:rPr>
      <w:rFonts w:ascii="arial unicode ms" w:hAnsi="arial unicode ms" w:eastAsia="arial unicode ms" w:cs="arial unicode ms"/>
      <w:sz w:val="24"/>
      <w:szCs w:val="24"/>
    </w:rPr>
  </w:style>
  <w:style w:type="paragraph" w:customStyle="1" w:styleId="6">
    <w:name w:val="p2"/>
    <w:basedOn w:val="1"/>
    <w:uiPriority w:val="0"/>
    <w:pPr>
      <w:spacing w:before="0" w:beforeAutospacing="0" w:after="0" w:afterAutospacing="0"/>
      <w:ind w:left="0" w:right="0" w:firstLine="480"/>
      <w:jc w:val="both"/>
    </w:pPr>
    <w:rPr>
      <w:rFonts w:ascii="songti sc" w:hAnsi="songti sc" w:eastAsia="songti sc" w:cs="songti sc"/>
      <w:color w:val="000000"/>
      <w:kern w:val="0"/>
      <w:sz w:val="24"/>
      <w:szCs w:val="24"/>
      <w:lang w:val="en-US" w:eastAsia="zh-CN" w:bidi="ar"/>
    </w:rPr>
  </w:style>
  <w:style w:type="character" w:customStyle="1" w:styleId="7">
    <w:name w:val="s2"/>
    <w:basedOn w:val="2"/>
    <w:uiPriority w:val="0"/>
    <w:rPr>
      <w:rFonts w:ascii="times" w:hAnsi="times" w:eastAsia="times" w:cs="times"/>
      <w:sz w:val="24"/>
      <w:szCs w:val="24"/>
    </w:rPr>
  </w:style>
  <w:style w:type="paragraph" w:customStyle="1" w:styleId="8">
    <w:name w:val="p1"/>
    <w:basedOn w:val="1"/>
    <w:uiPriority w:val="0"/>
    <w:pPr>
      <w:spacing w:before="0" w:beforeAutospacing="0" w:after="0" w:afterAutospacing="0"/>
      <w:ind w:left="0" w:right="0" w:firstLine="482"/>
      <w:jc w:val="both"/>
    </w:pPr>
    <w:rPr>
      <w:rFonts w:hint="eastAsia" w:ascii="songti sc" w:hAnsi="songti sc" w:eastAsia="songti sc" w:cs="songti sc"/>
      <w:color w:val="000000"/>
      <w:kern w:val="0"/>
      <w:sz w:val="24"/>
      <w:szCs w:val="24"/>
      <w:lang w:val="en-US" w:eastAsia="zh-CN" w:bidi="ar"/>
    </w:rPr>
  </w:style>
  <w:style w:type="paragraph" w:customStyle="1" w:styleId="9">
    <w:name w:val="正文1"/>
    <w:qFormat/>
    <w:uiPriority w:val="0"/>
    <w:pPr>
      <w:keepNext w:val="0"/>
      <w:keepLines w:val="0"/>
      <w:pageBreakBefore w:val="0"/>
      <w:widowControl/>
      <w:shd w:val="clear" w:color="auto" w:fill="auto"/>
      <w:suppressAutoHyphens w:val="0"/>
      <w:bidi w:val="0"/>
      <w:spacing w:before="0" w:after="0" w:line="240" w:lineRule="auto"/>
      <w:ind w:left="0" w:right="0" w:firstLine="0"/>
      <w:jc w:val="left"/>
      <w:outlineLvl w:val="9"/>
    </w:pPr>
    <w:rPr>
      <w:rFonts w:ascii="arial unicode ms" w:hAnsi="arial unicode ms" w:eastAsia="arial unicode ms" w:cs="arial unicode ms"/>
      <w:color w:val="000000"/>
      <w:spacing w:val="0"/>
      <w:kern w:val="0"/>
      <w:position w:val="0"/>
      <w:sz w:val="22"/>
      <w:szCs w:val="22"/>
      <w:u w:val="none" w:color="000000"/>
      <w:vertAlign w:val="baseline"/>
      <w:rtl w:val="0"/>
      <w:lang w:val="zh-Hans" w:eastAsia="zh-Hans"/>
    </w:rPr>
  </w:style>
  <w:style w:type="character" w:customStyle="1" w:styleId="10">
    <w:name w:val="无 B"/>
    <w:qFormat/>
    <w:uiPriority w:val="0"/>
    <w:rPr>
      <w:lang w:val="zh-Hans" w:eastAsia="zh-Hans"/>
    </w:rPr>
  </w:style>
  <w:style w:type="paragraph" w:customStyle="1" w:styleId="11">
    <w:name w:val="正文11"/>
    <w:qFormat/>
    <w:uiPriority w:val="0"/>
    <w:pPr>
      <w:keepNext w:val="0"/>
      <w:keepLines w:val="0"/>
      <w:pageBreakBefore w:val="0"/>
      <w:widowControl/>
      <w:shd w:val="clear" w:color="auto" w:fill="auto"/>
      <w:suppressAutoHyphens w:val="0"/>
      <w:bidi w:val="0"/>
      <w:spacing w:before="0" w:after="0" w:line="240" w:lineRule="auto"/>
      <w:ind w:left="0" w:right="0" w:firstLine="0"/>
      <w:jc w:val="left"/>
      <w:outlineLvl w:val="9"/>
    </w:pPr>
    <w:rPr>
      <w:rFonts w:ascii="arial unicode ms" w:hAnsi="arial unicode ms" w:eastAsia="Helvetica" w:cs="arial unicode ms"/>
      <w:color w:val="000000"/>
      <w:spacing w:val="0"/>
      <w:kern w:val="0"/>
      <w:position w:val="0"/>
      <w:sz w:val="22"/>
      <w:szCs w:val="22"/>
      <w:u w:val="none"/>
      <w:vertAlign w:val="baseline"/>
      <w:lang w:val="zh-Han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36</Words>
  <Characters>210</Characters>
  <Lines>1</Lines>
  <Paragraphs>1</Paragraphs>
  <TotalTime>0</TotalTime>
  <ScaleCrop>false</ScaleCrop>
  <LinksUpToDate>false</LinksUpToDate>
  <CharactersWithSpaces>245</CharactersWithSpaces>
  <Application>WPS Office_3.7.0.5929_F1E327BC-269C-435d-A152-05C5408002CA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2022-03-28T16:47:00Z</dcterms:created>
  <dc:creator>615516327@qq.com</dc:creator>
  <cp:lastModifiedBy>sgc</cp:lastModifiedBy>
  <dcterms:modified xsi:type="dcterms:W3CDTF">2022-03-28T17:50:54Z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2052-3.7.0.5929</vt:lpwstr>
  </property>
</Properties>
</file>